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D9B18F5" w14:textId="25D0BEE2" w:rsidR="00BC54D6" w:rsidRPr="001B2492" w:rsidRDefault="00EA1084" w:rsidP="00A37282">
      <w:pPr>
        <w:spacing w:after="0"/>
        <w:ind w:left="120"/>
        <w:jc w:val="center"/>
        <w:rPr>
          <w:lang w:val="sk-SK"/>
        </w:rPr>
      </w:pPr>
      <w:r w:rsidRPr="001B2492">
        <w:rPr>
          <w:noProof/>
          <w:lang w:val="sk-SK" w:eastAsia="sk-SK"/>
        </w:rPr>
        <w:drawing>
          <wp:inline distT="0" distB="0" distL="0" distR="0" wp14:anchorId="1B45B92F" wp14:editId="714ACC6E">
            <wp:extent cx="2972863" cy="98507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0743" cy="105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7BC24" w14:textId="79399B53" w:rsidR="007276CB" w:rsidRPr="001B2492" w:rsidRDefault="007276CB" w:rsidP="00A37282">
      <w:pPr>
        <w:spacing w:after="0"/>
        <w:ind w:left="120"/>
        <w:jc w:val="center"/>
        <w:rPr>
          <w:lang w:val="sk-SK"/>
        </w:rPr>
      </w:pPr>
    </w:p>
    <w:p w14:paraId="3208AEB9" w14:textId="595936E2" w:rsidR="007276CB" w:rsidRPr="001B2492" w:rsidRDefault="007276CB" w:rsidP="00A37282">
      <w:pPr>
        <w:spacing w:after="0"/>
        <w:ind w:left="120"/>
        <w:jc w:val="center"/>
        <w:rPr>
          <w:color w:val="A6A6A6" w:themeColor="background1" w:themeShade="A6"/>
          <w:sz w:val="44"/>
          <w:szCs w:val="44"/>
          <w:lang w:val="sk-SK"/>
        </w:rPr>
      </w:pPr>
      <w:r w:rsidRPr="001B2492">
        <w:rPr>
          <w:color w:val="A6A6A6" w:themeColor="background1" w:themeShade="A6"/>
          <w:sz w:val="44"/>
          <w:szCs w:val="44"/>
          <w:lang w:val="sk-SK"/>
        </w:rPr>
        <w:t>Tlačová správa SKDP</w:t>
      </w:r>
    </w:p>
    <w:p w14:paraId="78C51F14" w14:textId="06A24A90" w:rsidR="006B10EB" w:rsidRPr="001B2492" w:rsidRDefault="00B176C3" w:rsidP="00626F39">
      <w:pPr>
        <w:pStyle w:val="Zvraznencitcia"/>
        <w:ind w:left="0" w:right="4"/>
        <w:rPr>
          <w:b/>
          <w:bCs/>
          <w:color w:val="2F5496" w:themeColor="accent1" w:themeShade="BF"/>
          <w:sz w:val="48"/>
          <w:szCs w:val="48"/>
          <w:lang w:val="sk-SK"/>
        </w:rPr>
      </w:pPr>
      <w:r>
        <w:rPr>
          <w:b/>
          <w:bCs/>
          <w:color w:val="2F5496" w:themeColor="accent1" w:themeShade="BF"/>
          <w:sz w:val="48"/>
          <w:szCs w:val="48"/>
          <w:lang w:val="sk-SK"/>
        </w:rPr>
        <w:t>Občania daňovými kontrolórmi</w:t>
      </w:r>
    </w:p>
    <w:p w14:paraId="7DA3CF69" w14:textId="4740837E" w:rsidR="00BC54D6" w:rsidRPr="001B2492" w:rsidRDefault="00BC54D6" w:rsidP="007D65B5">
      <w:pPr>
        <w:spacing w:after="0"/>
        <w:ind w:left="120"/>
        <w:jc w:val="both"/>
        <w:rPr>
          <w:rFonts w:cstheme="minorHAnsi"/>
          <w:lang w:val="sk-SK"/>
        </w:rPr>
      </w:pPr>
    </w:p>
    <w:p w14:paraId="1058E22A" w14:textId="491379C1" w:rsidR="00BC54D6" w:rsidRDefault="00EA1084" w:rsidP="007276CB">
      <w:pPr>
        <w:spacing w:after="0"/>
        <w:ind w:left="120"/>
        <w:jc w:val="right"/>
        <w:rPr>
          <w:rFonts w:cstheme="minorHAnsi"/>
          <w:b/>
          <w:lang w:val="sk-SK"/>
        </w:rPr>
      </w:pPr>
      <w:r w:rsidRPr="001B2492">
        <w:rPr>
          <w:rFonts w:cstheme="minorHAnsi"/>
          <w:b/>
          <w:lang w:val="sk-SK"/>
        </w:rPr>
        <w:t xml:space="preserve">Bratislava, </w:t>
      </w:r>
      <w:r w:rsidR="008428B1">
        <w:rPr>
          <w:rFonts w:cstheme="minorHAnsi"/>
          <w:b/>
          <w:lang w:val="sk-SK"/>
        </w:rPr>
        <w:t>2</w:t>
      </w:r>
      <w:r w:rsidR="00DE6759">
        <w:rPr>
          <w:rFonts w:cstheme="minorHAnsi"/>
          <w:b/>
          <w:lang w:val="sk-SK"/>
        </w:rPr>
        <w:t>6</w:t>
      </w:r>
      <w:r w:rsidRPr="001B2492">
        <w:rPr>
          <w:rFonts w:cstheme="minorHAnsi"/>
          <w:b/>
          <w:lang w:val="sk-SK"/>
        </w:rPr>
        <w:t xml:space="preserve">. </w:t>
      </w:r>
      <w:r w:rsidR="00655603">
        <w:rPr>
          <w:rFonts w:cstheme="minorHAnsi"/>
          <w:b/>
          <w:lang w:val="sk-SK"/>
        </w:rPr>
        <w:t>októbra</w:t>
      </w:r>
      <w:r w:rsidRPr="001B2492">
        <w:rPr>
          <w:rFonts w:cstheme="minorHAnsi"/>
          <w:b/>
          <w:lang w:val="sk-SK"/>
        </w:rPr>
        <w:t xml:space="preserve"> 2022</w:t>
      </w:r>
    </w:p>
    <w:p w14:paraId="3616446C" w14:textId="77777777" w:rsidR="007D506D" w:rsidRPr="001B2492" w:rsidRDefault="007D506D" w:rsidP="007276CB">
      <w:pPr>
        <w:spacing w:after="0"/>
        <w:ind w:left="120"/>
        <w:jc w:val="right"/>
        <w:rPr>
          <w:rFonts w:cstheme="minorHAnsi"/>
          <w:lang w:val="sk-SK"/>
        </w:rPr>
      </w:pPr>
    </w:p>
    <w:p w14:paraId="762C4919" w14:textId="29849FD5" w:rsidR="00B15662" w:rsidRDefault="00B15662" w:rsidP="009543D7">
      <w:pPr>
        <w:spacing w:after="0"/>
        <w:jc w:val="both"/>
        <w:rPr>
          <w:b/>
          <w:lang w:val="sk-SK"/>
        </w:rPr>
      </w:pPr>
      <w:r w:rsidRPr="00DA7FC9">
        <w:rPr>
          <w:b/>
          <w:lang w:val="sk-SK"/>
        </w:rPr>
        <w:t>V Národnej rade SR má byť už o pár dní schválená novela zákona o používaní elektronickej registračnej pokladnice</w:t>
      </w:r>
      <w:r w:rsidR="002D4BF5" w:rsidRPr="00DA7FC9">
        <w:rPr>
          <w:b/>
          <w:lang w:val="sk-SK"/>
        </w:rPr>
        <w:t xml:space="preserve">, vďaka ktorej budú môcť občania žiadať o vrátenie časti zaplatenej ceny </w:t>
      </w:r>
      <w:r w:rsidR="000C2D77">
        <w:rPr>
          <w:b/>
          <w:lang w:val="sk-SK"/>
        </w:rPr>
        <w:t xml:space="preserve">vybraných </w:t>
      </w:r>
      <w:r w:rsidR="002D4BF5" w:rsidRPr="00DA7FC9">
        <w:rPr>
          <w:b/>
          <w:lang w:val="sk-SK"/>
        </w:rPr>
        <w:t>tovarov a</w:t>
      </w:r>
      <w:r w:rsidR="000C2D77">
        <w:rPr>
          <w:b/>
          <w:lang w:val="sk-SK"/>
        </w:rPr>
        <w:t> </w:t>
      </w:r>
      <w:r w:rsidR="002D4BF5" w:rsidRPr="00DA7FC9">
        <w:rPr>
          <w:b/>
          <w:lang w:val="sk-SK"/>
        </w:rPr>
        <w:t>služieb</w:t>
      </w:r>
      <w:r w:rsidR="000C2D77">
        <w:rPr>
          <w:b/>
          <w:lang w:val="sk-SK"/>
        </w:rPr>
        <w:t xml:space="preserve"> </w:t>
      </w:r>
      <w:r w:rsidR="000C2D77" w:rsidRPr="000C2D77">
        <w:rPr>
          <w:b/>
          <w:lang w:val="sk-SK"/>
        </w:rPr>
        <w:t>na základe pokladničného dokladu z pokladnice e-kasa klient</w:t>
      </w:r>
      <w:r w:rsidR="002D4BF5" w:rsidRPr="00DA7FC9">
        <w:rPr>
          <w:b/>
          <w:lang w:val="sk-SK"/>
        </w:rPr>
        <w:t xml:space="preserve">. </w:t>
      </w:r>
      <w:r w:rsidR="00054C92" w:rsidRPr="00DA7FC9">
        <w:rPr>
          <w:b/>
          <w:lang w:val="sk-SK"/>
        </w:rPr>
        <w:t xml:space="preserve">Slovenská komora daňových poradcov </w:t>
      </w:r>
      <w:r w:rsidR="001F6FC2">
        <w:rPr>
          <w:b/>
          <w:lang w:val="sk-SK"/>
        </w:rPr>
        <w:t>úmysel</w:t>
      </w:r>
      <w:r w:rsidR="00054C92" w:rsidRPr="00DA7FC9">
        <w:rPr>
          <w:b/>
          <w:lang w:val="sk-SK"/>
        </w:rPr>
        <w:t xml:space="preserve"> n</w:t>
      </w:r>
      <w:r w:rsidR="00DA7FC9" w:rsidRPr="00DA7FC9">
        <w:rPr>
          <w:b/>
          <w:lang w:val="sk-SK"/>
        </w:rPr>
        <w:t>ovely</w:t>
      </w:r>
      <w:r w:rsidR="00054C92" w:rsidRPr="00DA7FC9">
        <w:rPr>
          <w:b/>
          <w:lang w:val="sk-SK"/>
        </w:rPr>
        <w:t xml:space="preserve"> vníma pozitívne, avšak</w:t>
      </w:r>
      <w:r w:rsidR="007A080B">
        <w:rPr>
          <w:b/>
          <w:lang w:val="sk-SK"/>
        </w:rPr>
        <w:t xml:space="preserve"> súčasne upozorňuje, že návrhu</w:t>
      </w:r>
      <w:r w:rsidR="00054C92" w:rsidRPr="00DA7FC9">
        <w:rPr>
          <w:b/>
          <w:lang w:val="sk-SK"/>
        </w:rPr>
        <w:t xml:space="preserve"> </w:t>
      </w:r>
      <w:r w:rsidR="007A080B">
        <w:rPr>
          <w:b/>
          <w:lang w:val="sk-SK"/>
        </w:rPr>
        <w:t>chýba</w:t>
      </w:r>
      <w:r w:rsidR="00DA7FC9" w:rsidRPr="00DA7FC9">
        <w:rPr>
          <w:b/>
          <w:lang w:val="sk-SK"/>
        </w:rPr>
        <w:t xml:space="preserve"> odborná diskusia.</w:t>
      </w:r>
    </w:p>
    <w:p w14:paraId="2498C632" w14:textId="13F83AD7" w:rsidR="00DA7FC9" w:rsidRDefault="00DA7FC9" w:rsidP="009543D7">
      <w:pPr>
        <w:spacing w:after="0"/>
        <w:jc w:val="both"/>
        <w:rPr>
          <w:b/>
          <w:lang w:val="sk-SK"/>
        </w:rPr>
      </w:pPr>
    </w:p>
    <w:p w14:paraId="34F6194E" w14:textId="3393BCC9" w:rsidR="00DA7FC9" w:rsidRDefault="00DA7FC9" w:rsidP="009543D7">
      <w:pPr>
        <w:spacing w:after="0"/>
        <w:jc w:val="both"/>
        <w:rPr>
          <w:lang w:val="sk-SK"/>
        </w:rPr>
      </w:pPr>
      <w:r>
        <w:rPr>
          <w:lang w:val="sk-SK"/>
        </w:rPr>
        <w:t xml:space="preserve">Predložená legislatíva má znížiť </w:t>
      </w:r>
      <w:r w:rsidR="00786949">
        <w:rPr>
          <w:lang w:val="sk-SK"/>
        </w:rPr>
        <w:t>daňové úniky</w:t>
      </w:r>
      <w:r>
        <w:rPr>
          <w:lang w:val="sk-SK"/>
        </w:rPr>
        <w:t xml:space="preserve"> </w:t>
      </w:r>
      <w:r w:rsidR="007D7434">
        <w:rPr>
          <w:lang w:val="sk-SK"/>
        </w:rPr>
        <w:t>tým</w:t>
      </w:r>
      <w:r w:rsidR="00427FAB">
        <w:rPr>
          <w:lang w:val="sk-SK"/>
        </w:rPr>
        <w:t xml:space="preserve">, že občanov prakticky postaví do funkcie daňových kontrolórov. Obyvatelia po predložení bločku </w:t>
      </w:r>
      <w:r w:rsidR="007D7434">
        <w:rPr>
          <w:lang w:val="sk-SK"/>
        </w:rPr>
        <w:t xml:space="preserve">za uhradený tovar alebo službu do mobilnej aplikácie Finančnej správy budú môcť získať naspäť časť tejto sumy. To by malo podľa zákonodarcov motivovať podnikateľov vydávať bločky a dodržiavať </w:t>
      </w:r>
      <w:r w:rsidR="00C25FC8">
        <w:rPr>
          <w:lang w:val="sk-SK"/>
        </w:rPr>
        <w:t xml:space="preserve">tak platné </w:t>
      </w:r>
      <w:r w:rsidR="007D7434">
        <w:rPr>
          <w:lang w:val="sk-SK"/>
        </w:rPr>
        <w:t>zákony.</w:t>
      </w:r>
      <w:r w:rsidR="001F6FC2">
        <w:rPr>
          <w:lang w:val="sk-SK"/>
        </w:rPr>
        <w:t xml:space="preserve"> </w:t>
      </w:r>
    </w:p>
    <w:p w14:paraId="172EB6E5" w14:textId="762B328D" w:rsidR="001F6FC2" w:rsidRDefault="001F6FC2" w:rsidP="009543D7">
      <w:pPr>
        <w:spacing w:after="0"/>
        <w:jc w:val="both"/>
        <w:rPr>
          <w:lang w:val="sk-SK"/>
        </w:rPr>
      </w:pPr>
    </w:p>
    <w:p w14:paraId="723F3060" w14:textId="68F7F6FD" w:rsidR="00326685" w:rsidRDefault="001F6FC2" w:rsidP="00326685">
      <w:pPr>
        <w:spacing w:after="0"/>
        <w:jc w:val="both"/>
        <w:rPr>
          <w:lang w:val="sk-SK"/>
        </w:rPr>
      </w:pPr>
      <w:r>
        <w:rPr>
          <w:lang w:val="sk-SK"/>
        </w:rPr>
        <w:t xml:space="preserve">Slovenská komora daňových poradcov </w:t>
      </w:r>
      <w:r w:rsidR="00786949">
        <w:rPr>
          <w:lang w:val="sk-SK"/>
        </w:rPr>
        <w:t>v</w:t>
      </w:r>
      <w:r>
        <w:rPr>
          <w:lang w:val="sk-SK"/>
        </w:rPr>
        <w:t xml:space="preserve"> súčasnom znení novely vníma viaceré nedostatky a nejasnosti. </w:t>
      </w:r>
      <w:r w:rsidRPr="00786949">
        <w:rPr>
          <w:i/>
          <w:lang w:val="sk-SK"/>
        </w:rPr>
        <w:t>„Okrem presne vyčíslených nákladov na tvorbu a prevádzku aplikácie návrh neobsahuje žiadne</w:t>
      </w:r>
      <w:r w:rsidR="003C0ACF">
        <w:rPr>
          <w:i/>
          <w:lang w:val="sk-SK"/>
        </w:rPr>
        <w:t xml:space="preserve"> ďalšie analýzy, chýba</w:t>
      </w:r>
      <w:r w:rsidRPr="00786949">
        <w:rPr>
          <w:i/>
          <w:lang w:val="sk-SK"/>
        </w:rPr>
        <w:t xml:space="preserve"> presné vyčí</w:t>
      </w:r>
      <w:r w:rsidR="00786949" w:rsidRPr="00786949">
        <w:rPr>
          <w:i/>
          <w:lang w:val="sk-SK"/>
        </w:rPr>
        <w:t>slenie nákladov na zamestnancov</w:t>
      </w:r>
      <w:r w:rsidR="003C0ACF">
        <w:rPr>
          <w:i/>
          <w:lang w:val="sk-SK"/>
        </w:rPr>
        <w:t xml:space="preserve">, vyčíslenie výšky finančného príspevku, ktorý štát poskytne občanom  formou vrátenia peňazí z predložených bločkov z -kasy klient, </w:t>
      </w:r>
      <w:r w:rsidRPr="00786949">
        <w:rPr>
          <w:i/>
          <w:lang w:val="sk-SK"/>
        </w:rPr>
        <w:t xml:space="preserve"> </w:t>
      </w:r>
      <w:r w:rsidR="00786949" w:rsidRPr="00786949">
        <w:rPr>
          <w:i/>
          <w:lang w:val="sk-SK"/>
        </w:rPr>
        <w:t xml:space="preserve">či </w:t>
      </w:r>
      <w:r w:rsidR="003C0ACF">
        <w:rPr>
          <w:i/>
          <w:lang w:val="sk-SK"/>
        </w:rPr>
        <w:t xml:space="preserve">vyčíslenie </w:t>
      </w:r>
      <w:r w:rsidR="00786949" w:rsidRPr="00786949">
        <w:rPr>
          <w:i/>
          <w:lang w:val="sk-SK"/>
        </w:rPr>
        <w:t>súčasných daňových únikov v dôsledku nevydávania bločkov,“</w:t>
      </w:r>
      <w:r w:rsidR="00786949">
        <w:rPr>
          <w:lang w:val="sk-SK"/>
        </w:rPr>
        <w:t xml:space="preserve"> vysvetľuje členka prezídia Slovenskej komory daňových poradcov Mária Sameková.</w:t>
      </w:r>
      <w:r w:rsidR="00453C7E">
        <w:rPr>
          <w:lang w:val="sk-SK"/>
        </w:rPr>
        <w:t xml:space="preserve"> </w:t>
      </w:r>
      <w:r w:rsidR="00326685">
        <w:rPr>
          <w:lang w:val="sk-SK"/>
        </w:rPr>
        <w:t>V súvislosti s navrhovanou účinnosťou novely od 15. novembra 2022 vzniká taktiež otázka realizácie verejného obstarávania</w:t>
      </w:r>
      <w:r w:rsidR="003C0ACF">
        <w:rPr>
          <w:lang w:val="sk-SK"/>
        </w:rPr>
        <w:t xml:space="preserve">, </w:t>
      </w:r>
      <w:r w:rsidR="00326685">
        <w:rPr>
          <w:lang w:val="sk-SK"/>
        </w:rPr>
        <w:t xml:space="preserve">vytvorenia aplikácie </w:t>
      </w:r>
      <w:r w:rsidR="003C0ACF">
        <w:rPr>
          <w:lang w:val="sk-SK"/>
        </w:rPr>
        <w:t xml:space="preserve">a jej uvedenia do prevádzky </w:t>
      </w:r>
      <w:r w:rsidR="00326685">
        <w:rPr>
          <w:lang w:val="sk-SK"/>
        </w:rPr>
        <w:t>v</w:t>
      </w:r>
      <w:r w:rsidR="003C0ACF">
        <w:rPr>
          <w:lang w:val="sk-SK"/>
        </w:rPr>
        <w:t> tak krátkom čase.</w:t>
      </w:r>
      <w:r w:rsidR="00326685">
        <w:rPr>
          <w:lang w:val="sk-SK"/>
        </w:rPr>
        <w:t xml:space="preserve"> </w:t>
      </w:r>
    </w:p>
    <w:p w14:paraId="3920FF8E" w14:textId="77777777" w:rsidR="00326685" w:rsidRDefault="00326685" w:rsidP="00326685">
      <w:pPr>
        <w:spacing w:after="0"/>
        <w:jc w:val="both"/>
        <w:rPr>
          <w:lang w:val="sk-SK"/>
        </w:rPr>
      </w:pPr>
    </w:p>
    <w:p w14:paraId="1167035F" w14:textId="364A1902" w:rsidR="00786949" w:rsidRDefault="003C0ACF" w:rsidP="009543D7">
      <w:pPr>
        <w:spacing w:after="0"/>
        <w:jc w:val="both"/>
        <w:rPr>
          <w:lang w:val="sk-SK"/>
        </w:rPr>
      </w:pPr>
      <w:r w:rsidRPr="003C0ACF">
        <w:rPr>
          <w:lang w:val="sk-SK"/>
        </w:rPr>
        <w:t xml:space="preserve">Detaily </w:t>
      </w:r>
      <w:r>
        <w:rPr>
          <w:lang w:val="sk-SK"/>
        </w:rPr>
        <w:t xml:space="preserve">ohľadne finančného príspevku </w:t>
      </w:r>
      <w:r w:rsidRPr="003C0ACF">
        <w:rPr>
          <w:lang w:val="sk-SK"/>
        </w:rPr>
        <w:t>majú byť upravené osobitným predpisom</w:t>
      </w:r>
      <w:r w:rsidR="00DF0867">
        <w:rPr>
          <w:lang w:val="sk-SK"/>
        </w:rPr>
        <w:t>.</w:t>
      </w:r>
      <w:r w:rsidRPr="003C0ACF">
        <w:rPr>
          <w:lang w:val="sk-SK"/>
        </w:rPr>
        <w:t xml:space="preserve"> </w:t>
      </w:r>
      <w:r w:rsidR="00DF0867" w:rsidRPr="00DF0867">
        <w:rPr>
          <w:lang w:val="sk-SK"/>
        </w:rPr>
        <w:t xml:space="preserve">Zákon zmocňuje vládu nariadením určiť tovary a služby, za úhradu ktorých sa bude poskytovať príspevok, spôsob označenia tovarov a služieb na pokladničnom doklade, výšku príspevku, obdobie vyhotovovania pokladničných dokladov, na základe ktorých si bude možné uplatniť nárok na príspevok a obdobie uplatňovania nároku na príspevok. </w:t>
      </w:r>
      <w:r w:rsidR="00DF0867">
        <w:rPr>
          <w:lang w:val="sk-SK"/>
        </w:rPr>
        <w:t xml:space="preserve"> D</w:t>
      </w:r>
      <w:r w:rsidR="00453C7E">
        <w:rPr>
          <w:lang w:val="sk-SK"/>
        </w:rPr>
        <w:t xml:space="preserve">oteraz </w:t>
      </w:r>
      <w:r w:rsidR="00DF0867">
        <w:rPr>
          <w:lang w:val="sk-SK"/>
        </w:rPr>
        <w:t xml:space="preserve">teda </w:t>
      </w:r>
      <w:r w:rsidR="00453C7E">
        <w:rPr>
          <w:lang w:val="sk-SK"/>
        </w:rPr>
        <w:t>nie je presne určená vý</w:t>
      </w:r>
      <w:r w:rsidR="005E505E">
        <w:rPr>
          <w:lang w:val="sk-SK"/>
        </w:rPr>
        <w:t>š</w:t>
      </w:r>
      <w:r w:rsidR="00453C7E">
        <w:rPr>
          <w:lang w:val="sk-SK"/>
        </w:rPr>
        <w:t xml:space="preserve">ka </w:t>
      </w:r>
      <w:r w:rsidR="00DF0867">
        <w:rPr>
          <w:lang w:val="sk-SK"/>
        </w:rPr>
        <w:t>finančného</w:t>
      </w:r>
      <w:r w:rsidR="00453C7E">
        <w:rPr>
          <w:lang w:val="sk-SK"/>
        </w:rPr>
        <w:t xml:space="preserve"> príspevku, ako aj služby, na ktoré sa bude táto možnosť </w:t>
      </w:r>
      <w:r w:rsidR="00C25FC8">
        <w:rPr>
          <w:lang w:val="sk-SK"/>
        </w:rPr>
        <w:t xml:space="preserve">vzťahovať. </w:t>
      </w:r>
      <w:r w:rsidR="00C25FC8" w:rsidRPr="00C25FC8">
        <w:rPr>
          <w:i/>
          <w:lang w:val="sk-SK"/>
        </w:rPr>
        <w:t>„Doposiaľ komunikované služby ako reštaur</w:t>
      </w:r>
      <w:r w:rsidR="00DF0867">
        <w:rPr>
          <w:i/>
          <w:lang w:val="sk-SK"/>
        </w:rPr>
        <w:t>ačné</w:t>
      </w:r>
      <w:r w:rsidR="00C25FC8" w:rsidRPr="00C25FC8">
        <w:rPr>
          <w:i/>
          <w:lang w:val="sk-SK"/>
        </w:rPr>
        <w:t xml:space="preserve"> či kaderníc</w:t>
      </w:r>
      <w:r w:rsidR="00DF0867">
        <w:rPr>
          <w:i/>
          <w:lang w:val="sk-SK"/>
        </w:rPr>
        <w:t>ke</w:t>
      </w:r>
      <w:r w:rsidR="00C25FC8" w:rsidRPr="00C25FC8">
        <w:rPr>
          <w:i/>
          <w:lang w:val="sk-SK"/>
        </w:rPr>
        <w:t xml:space="preserve"> predstavujú </w:t>
      </w:r>
      <w:r w:rsidR="00C25FC8" w:rsidRPr="00C25FC8">
        <w:rPr>
          <w:i/>
          <w:lang w:val="sk-SK"/>
        </w:rPr>
        <w:lastRenderedPageBreak/>
        <w:t xml:space="preserve">pre občanov </w:t>
      </w:r>
      <w:r w:rsidR="00DF0867">
        <w:rPr>
          <w:i/>
          <w:lang w:val="sk-SK"/>
        </w:rPr>
        <w:t xml:space="preserve">s nižšími príjmami </w:t>
      </w:r>
      <w:r w:rsidR="00C25FC8" w:rsidRPr="00C25FC8">
        <w:rPr>
          <w:i/>
          <w:lang w:val="sk-SK"/>
        </w:rPr>
        <w:t>skôr luxusné služby</w:t>
      </w:r>
      <w:r w:rsidR="00DF0867">
        <w:rPr>
          <w:i/>
          <w:lang w:val="sk-SK"/>
        </w:rPr>
        <w:t xml:space="preserve">. </w:t>
      </w:r>
      <w:r w:rsidR="00DF0867" w:rsidRPr="00DF0867">
        <w:rPr>
          <w:i/>
          <w:lang w:val="sk-SK"/>
        </w:rPr>
        <w:t xml:space="preserve">Viacpočetná rodina s nižšími príjmami </w:t>
      </w:r>
      <w:r w:rsidR="00DF0867">
        <w:rPr>
          <w:i/>
          <w:lang w:val="sk-SK"/>
        </w:rPr>
        <w:t xml:space="preserve">alebo dôchodca s minimálnym dôchodkom </w:t>
      </w:r>
      <w:r w:rsidR="00DF0867" w:rsidRPr="00DF0867">
        <w:rPr>
          <w:i/>
          <w:lang w:val="sk-SK"/>
        </w:rPr>
        <w:t xml:space="preserve">zrejme nebude chodiť na večeru do reštaurácie len preto, že </w:t>
      </w:r>
      <w:r w:rsidR="00DF0867">
        <w:rPr>
          <w:i/>
          <w:lang w:val="sk-SK"/>
        </w:rPr>
        <w:t>im</w:t>
      </w:r>
      <w:r w:rsidR="00DF0867" w:rsidRPr="00DF0867">
        <w:rPr>
          <w:i/>
          <w:lang w:val="sk-SK"/>
        </w:rPr>
        <w:t xml:space="preserve"> štát sľubuje vrátiť 20% z hodnoty útraty</w:t>
      </w:r>
      <w:r w:rsidR="00DF0867">
        <w:rPr>
          <w:i/>
          <w:lang w:val="sk-SK"/>
        </w:rPr>
        <w:t>. V</w:t>
      </w:r>
      <w:r w:rsidR="00C25FC8" w:rsidRPr="00C25FC8">
        <w:rPr>
          <w:i/>
          <w:lang w:val="sk-SK"/>
        </w:rPr>
        <w:t xml:space="preserve">rátený príspevok nebude mať </w:t>
      </w:r>
      <w:r w:rsidR="00DF0867">
        <w:rPr>
          <w:i/>
          <w:lang w:val="sk-SK"/>
        </w:rPr>
        <w:t xml:space="preserve">teda </w:t>
      </w:r>
      <w:r w:rsidR="00C25FC8" w:rsidRPr="00C25FC8">
        <w:rPr>
          <w:i/>
          <w:lang w:val="sk-SK"/>
        </w:rPr>
        <w:t>pozitívny vplyv na najviac finančne ohrozené skupiny obyvateľstva,“</w:t>
      </w:r>
      <w:r w:rsidR="00C25FC8">
        <w:rPr>
          <w:lang w:val="sk-SK"/>
        </w:rPr>
        <w:t xml:space="preserve"> vysvetľuje daňová poradkyňa Mária Sameková. Doplnila, že v tejto súvislosti môže vzniknúť problém diskriminácie a možného zvýhodnenia skupiny podnikateľov i občanov.</w:t>
      </w:r>
      <w:r w:rsidR="00326685">
        <w:rPr>
          <w:lang w:val="sk-SK"/>
        </w:rPr>
        <w:t xml:space="preserve"> Rovnako nie je presne zadefinovaný ani spôsob preukázania, že zakúpený tovar alebo služba bol poskytnutý na osobnú spotrebu</w:t>
      </w:r>
      <w:r w:rsidR="00DF0867">
        <w:rPr>
          <w:lang w:val="sk-SK"/>
        </w:rPr>
        <w:t xml:space="preserve">, ak bude slúžiť na osobnú spotrebu </w:t>
      </w:r>
      <w:r w:rsidR="00326685">
        <w:rPr>
          <w:lang w:val="sk-SK"/>
        </w:rPr>
        <w:t xml:space="preserve"> inej osobe (napr. kúpa darčekového poukazu</w:t>
      </w:r>
      <w:r w:rsidR="00DF0867">
        <w:rPr>
          <w:lang w:val="sk-SK"/>
        </w:rPr>
        <w:t xml:space="preserve"> na vybrané služby a tovary</w:t>
      </w:r>
      <w:r w:rsidR="00326685">
        <w:rPr>
          <w:lang w:val="sk-SK"/>
        </w:rPr>
        <w:t>).</w:t>
      </w:r>
    </w:p>
    <w:p w14:paraId="502D9B68" w14:textId="00AFB961" w:rsidR="00C25FC8" w:rsidRDefault="00C25FC8" w:rsidP="009543D7">
      <w:pPr>
        <w:spacing w:after="0"/>
        <w:jc w:val="both"/>
        <w:rPr>
          <w:lang w:val="sk-SK"/>
        </w:rPr>
      </w:pPr>
    </w:p>
    <w:p w14:paraId="7067747C" w14:textId="50E89857" w:rsidR="00C25FC8" w:rsidRDefault="00C25FC8" w:rsidP="009543D7">
      <w:pPr>
        <w:spacing w:after="0"/>
        <w:jc w:val="both"/>
        <w:rPr>
          <w:lang w:val="sk-SK"/>
        </w:rPr>
      </w:pPr>
      <w:r>
        <w:rPr>
          <w:lang w:val="sk-SK"/>
        </w:rPr>
        <w:t xml:space="preserve">Slovenská komora daňových poradcov upozorňuje aj na prekážky v procesných úkonoch, ktoré môžu vzniknúť v praxi. </w:t>
      </w:r>
      <w:r w:rsidRPr="00C25FC8">
        <w:rPr>
          <w:i/>
          <w:lang w:val="sk-SK"/>
        </w:rPr>
        <w:t xml:space="preserve">„Finančné riaditeľstvo bude mať lehotu desať dní na rozhodnutie o poskytnutí alebo neposkytnutí príspevku. Súčasne ak sa pri kontrole zistí, že občan príspevok získal neoprávnene, nebude mať žiadny </w:t>
      </w:r>
      <w:r w:rsidR="00147359">
        <w:rPr>
          <w:i/>
          <w:lang w:val="sk-SK"/>
        </w:rPr>
        <w:t xml:space="preserve">riadny </w:t>
      </w:r>
      <w:r w:rsidRPr="00C25FC8">
        <w:rPr>
          <w:i/>
          <w:lang w:val="sk-SK"/>
        </w:rPr>
        <w:t>opravný prostriedok,</w:t>
      </w:r>
      <w:r w:rsidR="00147359">
        <w:rPr>
          <w:i/>
          <w:lang w:val="sk-SK"/>
        </w:rPr>
        <w:t xml:space="preserve"> bude môcť podať len námietku, </w:t>
      </w:r>
      <w:r w:rsidRPr="00C25FC8">
        <w:rPr>
          <w:i/>
          <w:lang w:val="sk-SK"/>
        </w:rPr>
        <w:t>pričom predmetom námietky môže byť len výška príspevku, a nie jeho dôvodnosť,“</w:t>
      </w:r>
      <w:r>
        <w:rPr>
          <w:lang w:val="sk-SK"/>
        </w:rPr>
        <w:t xml:space="preserve"> upozorňuje Mária Sameková. </w:t>
      </w:r>
    </w:p>
    <w:p w14:paraId="2FC61EE0" w14:textId="5E9B515D" w:rsidR="00C25FC8" w:rsidRDefault="00C25FC8" w:rsidP="009543D7">
      <w:pPr>
        <w:spacing w:after="0"/>
        <w:jc w:val="both"/>
        <w:rPr>
          <w:lang w:val="sk-SK"/>
        </w:rPr>
      </w:pPr>
    </w:p>
    <w:p w14:paraId="7FC6A4A6" w14:textId="5543DF58" w:rsidR="00E57CB1" w:rsidRDefault="00147359" w:rsidP="009543D7">
      <w:pPr>
        <w:spacing w:after="0"/>
        <w:jc w:val="both"/>
        <w:rPr>
          <w:lang w:val="sk-SK"/>
        </w:rPr>
      </w:pPr>
      <w:r>
        <w:rPr>
          <w:lang w:val="sk-SK"/>
        </w:rPr>
        <w:t>V</w:t>
      </w:r>
      <w:r w:rsidR="00326685">
        <w:rPr>
          <w:lang w:val="sk-SK"/>
        </w:rPr>
        <w:t xml:space="preserve"> prípade prijatia novely vzniká riziko zvýšenia cien tovaru a služieb zo strany podnikateľov. Príkladom je zvýšenie bankových poplatkov ako reakcia na zavedenie bankového odvodu, ako aj zníženie DPH za ubytovanie, ktoré spotrebitelia de </w:t>
      </w:r>
      <w:proofErr w:type="spellStart"/>
      <w:r w:rsidR="00326685">
        <w:rPr>
          <w:lang w:val="sk-SK"/>
        </w:rPr>
        <w:t>facto</w:t>
      </w:r>
      <w:proofErr w:type="spellEnd"/>
      <w:r w:rsidR="00326685">
        <w:rPr>
          <w:lang w:val="sk-SK"/>
        </w:rPr>
        <w:t xml:space="preserve"> nepocítili. </w:t>
      </w:r>
      <w:r w:rsidR="00326685">
        <w:rPr>
          <w:i/>
          <w:lang w:val="sk-SK"/>
        </w:rPr>
        <w:t>„</w:t>
      </w:r>
      <w:r w:rsidR="00E57CB1">
        <w:rPr>
          <w:i/>
          <w:lang w:val="sk-SK"/>
        </w:rPr>
        <w:t xml:space="preserve">Otázkou je, či sa pri príprave zákona použili dáta napríklad z už zrealizovaných </w:t>
      </w:r>
      <w:proofErr w:type="spellStart"/>
      <w:r w:rsidR="00E57CB1">
        <w:rPr>
          <w:i/>
          <w:lang w:val="sk-SK"/>
        </w:rPr>
        <w:t>bločkových</w:t>
      </w:r>
      <w:proofErr w:type="spellEnd"/>
      <w:r w:rsidR="00E57CB1">
        <w:rPr>
          <w:i/>
          <w:lang w:val="sk-SK"/>
        </w:rPr>
        <w:t xml:space="preserve"> </w:t>
      </w:r>
      <w:proofErr w:type="spellStart"/>
      <w:r w:rsidR="00E57CB1">
        <w:rPr>
          <w:i/>
          <w:lang w:val="sk-SK"/>
        </w:rPr>
        <w:t>loterií</w:t>
      </w:r>
      <w:proofErr w:type="spellEnd"/>
      <w:r w:rsidR="00E57CB1">
        <w:rPr>
          <w:i/>
          <w:lang w:val="sk-SK"/>
        </w:rPr>
        <w:t xml:space="preserve"> a vyhodnotil sa ich prínos. </w:t>
      </w:r>
      <w:r w:rsidR="00326685">
        <w:rPr>
          <w:i/>
          <w:lang w:val="sk-SK"/>
        </w:rPr>
        <w:t>Z</w:t>
      </w:r>
      <w:r w:rsidR="00E57CB1">
        <w:rPr>
          <w:i/>
          <w:lang w:val="sk-SK"/>
        </w:rPr>
        <w:t> </w:t>
      </w:r>
      <w:r w:rsidR="00326685">
        <w:rPr>
          <w:i/>
          <w:lang w:val="sk-SK"/>
        </w:rPr>
        <w:t xml:space="preserve">predložených materiálov </w:t>
      </w:r>
      <w:r>
        <w:rPr>
          <w:i/>
          <w:lang w:val="sk-SK"/>
        </w:rPr>
        <w:t xml:space="preserve">k návrhu zákona </w:t>
      </w:r>
      <w:r w:rsidR="00E57CB1">
        <w:rPr>
          <w:i/>
          <w:lang w:val="sk-SK"/>
        </w:rPr>
        <w:t xml:space="preserve">však </w:t>
      </w:r>
      <w:r w:rsidR="00326685">
        <w:rPr>
          <w:i/>
          <w:lang w:val="sk-SK"/>
        </w:rPr>
        <w:t xml:space="preserve">nie je možné </w:t>
      </w:r>
      <w:r w:rsidR="00E57CB1">
        <w:rPr>
          <w:i/>
          <w:lang w:val="sk-SK"/>
        </w:rPr>
        <w:t xml:space="preserve">presne </w:t>
      </w:r>
      <w:r w:rsidR="00326685">
        <w:rPr>
          <w:i/>
          <w:lang w:val="sk-SK"/>
        </w:rPr>
        <w:t>vyhodnotiť ani prínos pre štátny ro</w:t>
      </w:r>
      <w:r w:rsidR="00E57CB1">
        <w:rPr>
          <w:i/>
          <w:lang w:val="sk-SK"/>
        </w:rPr>
        <w:t>zpočet, ani prínos pre občanov,“</w:t>
      </w:r>
      <w:r w:rsidR="00E57CB1">
        <w:rPr>
          <w:lang w:val="sk-SK"/>
        </w:rPr>
        <w:t xml:space="preserve"> uzatvára daňov</w:t>
      </w:r>
      <w:r w:rsidR="005E505E">
        <w:rPr>
          <w:lang w:val="sk-SK"/>
        </w:rPr>
        <w:t>á</w:t>
      </w:r>
      <w:r w:rsidR="00E57CB1">
        <w:rPr>
          <w:lang w:val="sk-SK"/>
        </w:rPr>
        <w:t xml:space="preserve"> poradkyňa Mária Sameková.</w:t>
      </w:r>
    </w:p>
    <w:p w14:paraId="73E26AAF" w14:textId="5023AA64" w:rsidR="00E57CB1" w:rsidRDefault="00E57CB1" w:rsidP="009543D7">
      <w:pPr>
        <w:spacing w:after="0"/>
        <w:jc w:val="both"/>
        <w:rPr>
          <w:lang w:val="sk-SK"/>
        </w:rPr>
      </w:pPr>
    </w:p>
    <w:p w14:paraId="034CB10C" w14:textId="0C5964BC" w:rsidR="00E57CB1" w:rsidRPr="00E57CB1" w:rsidRDefault="00E57CB1" w:rsidP="009543D7">
      <w:pPr>
        <w:spacing w:after="0"/>
        <w:jc w:val="both"/>
        <w:rPr>
          <w:lang w:val="sk-SK"/>
        </w:rPr>
      </w:pPr>
      <w:r>
        <w:rPr>
          <w:lang w:val="sk-SK"/>
        </w:rPr>
        <w:t xml:space="preserve">Slovenská komora daňových poradcov vníma kriticky, že pri tomto návrhu nie je zrejmý úmysel o odbornú </w:t>
      </w:r>
      <w:r w:rsidR="00F64BC4">
        <w:rPr>
          <w:lang w:val="sk-SK"/>
        </w:rPr>
        <w:t>diskusiu, pretože m</w:t>
      </w:r>
      <w:r>
        <w:rPr>
          <w:lang w:val="sk-SK"/>
        </w:rPr>
        <w:t xml:space="preserve">edzirezortné pripomienkové konanie k tomuto návrhu bolo </w:t>
      </w:r>
      <w:r w:rsidR="00F64BC4">
        <w:rPr>
          <w:lang w:val="sk-SK"/>
        </w:rPr>
        <w:t xml:space="preserve">stanovené </w:t>
      </w:r>
      <w:r>
        <w:rPr>
          <w:lang w:val="sk-SK"/>
        </w:rPr>
        <w:t xml:space="preserve">v rozsahu </w:t>
      </w:r>
      <w:r w:rsidR="00F32FB1">
        <w:rPr>
          <w:lang w:val="sk-SK"/>
        </w:rPr>
        <w:t xml:space="preserve">10 </w:t>
      </w:r>
      <w:r w:rsidR="00DB4176">
        <w:rPr>
          <w:lang w:val="sk-SK"/>
        </w:rPr>
        <w:t>dní</w:t>
      </w:r>
      <w:r w:rsidR="005E505E">
        <w:rPr>
          <w:lang w:val="sk-SK"/>
        </w:rPr>
        <w:t>, aj to až po prvom čítaní v parlamente</w:t>
      </w:r>
      <w:r w:rsidR="00F64BC4">
        <w:rPr>
          <w:lang w:val="sk-SK"/>
        </w:rPr>
        <w:t>.</w:t>
      </w:r>
      <w:r>
        <w:rPr>
          <w:lang w:val="sk-SK"/>
        </w:rPr>
        <w:t xml:space="preserve"> </w:t>
      </w:r>
      <w:r w:rsidR="00F64BC4">
        <w:rPr>
          <w:lang w:val="sk-SK"/>
        </w:rPr>
        <w:t>Napriek dobrému úmyslu je to však veľmi</w:t>
      </w:r>
      <w:r>
        <w:rPr>
          <w:lang w:val="sk-SK"/>
        </w:rPr>
        <w:t xml:space="preserve"> krátky časový úsek na </w:t>
      </w:r>
      <w:r w:rsidR="00F64BC4">
        <w:rPr>
          <w:lang w:val="sk-SK"/>
        </w:rPr>
        <w:t xml:space="preserve">poskytnutie </w:t>
      </w:r>
      <w:r>
        <w:rPr>
          <w:lang w:val="sk-SK"/>
        </w:rPr>
        <w:t>odborn</w:t>
      </w:r>
      <w:r w:rsidR="00F64BC4">
        <w:rPr>
          <w:lang w:val="sk-SK"/>
        </w:rPr>
        <w:t>ých vyjadrení</w:t>
      </w:r>
      <w:r>
        <w:rPr>
          <w:lang w:val="sk-SK"/>
        </w:rPr>
        <w:t xml:space="preserve"> a</w:t>
      </w:r>
      <w:r w:rsidR="00F64BC4">
        <w:rPr>
          <w:lang w:val="sk-SK"/>
        </w:rPr>
        <w:t xml:space="preserve"> stanovísk, ktoré pri tomto návrhu </w:t>
      </w:r>
      <w:r w:rsidR="005E505E">
        <w:rPr>
          <w:lang w:val="sk-SK"/>
        </w:rPr>
        <w:t xml:space="preserve">jednoznačne </w:t>
      </w:r>
      <w:r w:rsidR="00F64BC4">
        <w:rPr>
          <w:lang w:val="sk-SK"/>
        </w:rPr>
        <w:t>chýbajú.</w:t>
      </w:r>
    </w:p>
    <w:p w14:paraId="5C855CEE" w14:textId="7FF02535" w:rsidR="00040B42" w:rsidRDefault="00040B42" w:rsidP="0069254C">
      <w:pPr>
        <w:pBdr>
          <w:bottom w:val="single" w:sz="4" w:space="1" w:color="auto"/>
        </w:pBdr>
        <w:spacing w:after="0"/>
        <w:jc w:val="both"/>
        <w:rPr>
          <w:lang w:val="sk-SK"/>
        </w:rPr>
      </w:pPr>
    </w:p>
    <w:p w14:paraId="64CBF7D9" w14:textId="77777777" w:rsidR="005B0602" w:rsidRPr="001B2492" w:rsidRDefault="005B0602" w:rsidP="0069254C">
      <w:pPr>
        <w:pBdr>
          <w:bottom w:val="single" w:sz="4" w:space="1" w:color="auto"/>
        </w:pBdr>
        <w:spacing w:after="0"/>
        <w:jc w:val="both"/>
        <w:rPr>
          <w:rFonts w:cstheme="minorHAnsi"/>
          <w:lang w:val="sk-SK"/>
        </w:rPr>
      </w:pPr>
    </w:p>
    <w:p w14:paraId="70E2FFF9" w14:textId="601F602B" w:rsidR="00BC54D6" w:rsidRPr="001B2492" w:rsidRDefault="006A05AE" w:rsidP="007D65B5">
      <w:pPr>
        <w:spacing w:after="0"/>
        <w:ind w:left="120"/>
        <w:jc w:val="both"/>
        <w:rPr>
          <w:rFonts w:cstheme="minorHAnsi"/>
          <w:lang w:val="sk-SK"/>
        </w:rPr>
      </w:pPr>
      <w:r w:rsidRPr="001B2492"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 wp14:anchorId="04358413" wp14:editId="7DD7881C">
            <wp:simplePos x="0" y="0"/>
            <wp:positionH relativeFrom="column">
              <wp:posOffset>93400</wp:posOffset>
            </wp:positionH>
            <wp:positionV relativeFrom="paragraph">
              <wp:posOffset>81482</wp:posOffset>
            </wp:positionV>
            <wp:extent cx="335915" cy="306705"/>
            <wp:effectExtent l="0" t="0" r="6985" b="0"/>
            <wp:wrapTight wrapText="bothSides">
              <wp:wrapPolygon edited="0">
                <wp:start x="0" y="0"/>
                <wp:lineTo x="0" y="20124"/>
                <wp:lineTo x="20824" y="20124"/>
                <wp:lineTo x="20824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2EF8A" w14:textId="5EA44CB3" w:rsidR="00BC54D6" w:rsidRPr="001B2492" w:rsidRDefault="008D7DB7" w:rsidP="007D65B5">
      <w:pPr>
        <w:spacing w:after="0"/>
        <w:ind w:left="120"/>
        <w:jc w:val="both"/>
        <w:rPr>
          <w:rFonts w:cstheme="minorHAnsi"/>
          <w:lang w:val="sk-SK"/>
        </w:rPr>
      </w:pPr>
      <w:r w:rsidRPr="001B2492">
        <w:rPr>
          <w:rFonts w:cstheme="minorHAnsi"/>
          <w:b/>
          <w:lang w:val="sk-SK"/>
        </w:rPr>
        <w:t xml:space="preserve"> </w:t>
      </w:r>
      <w:r w:rsidR="00EA1084" w:rsidRPr="001B2492">
        <w:rPr>
          <w:rFonts w:cstheme="minorHAnsi"/>
          <w:b/>
          <w:lang w:val="sk-SK"/>
        </w:rPr>
        <w:t>O SKDP</w:t>
      </w:r>
    </w:p>
    <w:p w14:paraId="6D2C532D" w14:textId="7EC70DB4" w:rsidR="00BC54D6" w:rsidRPr="001B2492" w:rsidRDefault="00EA1084" w:rsidP="007D65B5">
      <w:pPr>
        <w:spacing w:after="0"/>
        <w:ind w:left="120"/>
        <w:jc w:val="both"/>
        <w:rPr>
          <w:rFonts w:cstheme="minorHAnsi"/>
          <w:lang w:val="sk-SK"/>
        </w:rPr>
      </w:pPr>
      <w:r w:rsidRPr="001B2492">
        <w:rPr>
          <w:rFonts w:cstheme="minorHAnsi"/>
          <w:lang w:val="sk-SK"/>
        </w:rPr>
        <w:t xml:space="preserve">Slovenská komora daňových poradcov (SKDP) združuje daňových poradcov a udržiava úroveň daňového poradenstva na Slovensku. Jej cieľom je podporovať všetkých členov komory v ich profesii a poskytovať im pravidelné odborné vzdelávanie počas celej kariéry. Podieľa sa na príprave legislatívy a snaží sa ovplyvniť jej výslednú podobu. Slovenská komora je členom medzinárodnej Európskej daňovej konfederácie (CFE - Confederation Fiscale </w:t>
      </w:r>
      <w:proofErr w:type="spellStart"/>
      <w:r w:rsidRPr="001B2492">
        <w:rPr>
          <w:rFonts w:cstheme="minorHAnsi"/>
          <w:lang w:val="sk-SK"/>
        </w:rPr>
        <w:t>Europeenne</w:t>
      </w:r>
      <w:proofErr w:type="spellEnd"/>
      <w:r w:rsidRPr="001B2492">
        <w:rPr>
          <w:rFonts w:cstheme="minorHAnsi"/>
          <w:lang w:val="sk-SK"/>
        </w:rPr>
        <w:t>), ktorá združuje národné organizácie (komory).</w:t>
      </w:r>
    </w:p>
    <w:p w14:paraId="6C450DEA" w14:textId="77777777" w:rsidR="00FF0439" w:rsidRPr="001B2492" w:rsidRDefault="00FF0439" w:rsidP="00FF0439">
      <w:pPr>
        <w:pBdr>
          <w:bottom w:val="single" w:sz="4" w:space="1" w:color="auto"/>
        </w:pBdr>
        <w:spacing w:after="0"/>
        <w:jc w:val="both"/>
        <w:rPr>
          <w:rFonts w:cstheme="minorHAnsi"/>
          <w:lang w:val="sk-SK"/>
        </w:rPr>
      </w:pPr>
    </w:p>
    <w:p w14:paraId="4AEA6D81" w14:textId="77777777" w:rsidR="00FF0439" w:rsidRPr="001B2492" w:rsidRDefault="00FF0439" w:rsidP="00FF0439">
      <w:pPr>
        <w:spacing w:after="0" w:line="240" w:lineRule="auto"/>
        <w:jc w:val="both"/>
        <w:rPr>
          <w:sz w:val="18"/>
          <w:szCs w:val="18"/>
          <w:lang w:val="sk-SK"/>
        </w:rPr>
      </w:pPr>
    </w:p>
    <w:p w14:paraId="1A5C25C9" w14:textId="6367CDA8" w:rsidR="00FF0439" w:rsidRPr="001B2492" w:rsidRDefault="00FF0439" w:rsidP="00FF0439">
      <w:pPr>
        <w:spacing w:after="0" w:line="240" w:lineRule="auto"/>
        <w:jc w:val="both"/>
        <w:rPr>
          <w:b/>
          <w:bCs/>
          <w:lang w:val="sk-SK"/>
        </w:rPr>
      </w:pPr>
      <w:r w:rsidRPr="001B2492">
        <w:rPr>
          <w:b/>
          <w:bCs/>
          <w:lang w:val="sk-SK"/>
        </w:rPr>
        <w:t>V prípade otázok kontaktujte:</w:t>
      </w:r>
    </w:p>
    <w:p w14:paraId="37A03CE1" w14:textId="6206A21A" w:rsidR="006A5AFC" w:rsidRPr="001B2492" w:rsidRDefault="00255AC5" w:rsidP="00255AC5">
      <w:pPr>
        <w:tabs>
          <w:tab w:val="center" w:pos="4680"/>
        </w:tabs>
        <w:spacing w:after="0" w:line="240" w:lineRule="auto"/>
        <w:ind w:left="4962"/>
        <w:jc w:val="both"/>
        <w:rPr>
          <w:lang w:val="sk-SK"/>
        </w:rPr>
      </w:pPr>
      <w:r w:rsidRPr="001B2492">
        <w:rPr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 wp14:anchorId="43E2C453" wp14:editId="6F8C2FC4">
            <wp:simplePos x="0" y="0"/>
            <wp:positionH relativeFrom="column">
              <wp:posOffset>2665095</wp:posOffset>
            </wp:positionH>
            <wp:positionV relativeFrom="paragraph">
              <wp:posOffset>7620</wp:posOffset>
            </wp:positionV>
            <wp:extent cx="368935" cy="648335"/>
            <wp:effectExtent l="0" t="0" r="0" b="0"/>
            <wp:wrapTight wrapText="bothSides">
              <wp:wrapPolygon edited="0">
                <wp:start x="0" y="0"/>
                <wp:lineTo x="0" y="20944"/>
                <wp:lineTo x="20076" y="20944"/>
                <wp:lineTo x="20076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AFC" w:rsidRPr="001B2492">
        <w:rPr>
          <w:lang w:val="sk-SK"/>
        </w:rPr>
        <w:t xml:space="preserve">Slovenská komora daňových poradcov </w:t>
      </w:r>
      <w:r w:rsidR="005C640D" w:rsidRPr="001B2492">
        <w:rPr>
          <w:lang w:val="sk-SK"/>
        </w:rPr>
        <w:tab/>
      </w:r>
    </w:p>
    <w:p w14:paraId="2230A20D" w14:textId="2F837AB1" w:rsidR="006A5AFC" w:rsidRPr="001B2492" w:rsidRDefault="00FF0439" w:rsidP="00255AC5">
      <w:pPr>
        <w:spacing w:after="0" w:line="240" w:lineRule="auto"/>
        <w:ind w:left="4962"/>
        <w:jc w:val="both"/>
        <w:rPr>
          <w:b/>
          <w:bCs/>
          <w:lang w:val="sk-SK"/>
        </w:rPr>
      </w:pPr>
      <w:r w:rsidRPr="001B2492">
        <w:rPr>
          <w:b/>
          <w:bCs/>
          <w:lang w:val="sk-SK"/>
        </w:rPr>
        <w:t>JUDr. Adriana Horváthová, tajomník</w:t>
      </w:r>
    </w:p>
    <w:p w14:paraId="2167B4DF" w14:textId="73A1D336" w:rsidR="00FF0439" w:rsidRPr="001B2492" w:rsidRDefault="00FF0439" w:rsidP="00255AC5">
      <w:pPr>
        <w:spacing w:after="0" w:line="240" w:lineRule="auto"/>
        <w:ind w:left="4962"/>
        <w:jc w:val="both"/>
        <w:rPr>
          <w:lang w:val="sk-SK"/>
        </w:rPr>
      </w:pPr>
      <w:r w:rsidRPr="001B2492">
        <w:rPr>
          <w:lang w:val="sk-SK"/>
        </w:rPr>
        <w:t xml:space="preserve">email: </w:t>
      </w:r>
      <w:r w:rsidRPr="001B2492">
        <w:rPr>
          <w:rFonts w:ascii="Calibri" w:hAnsi="Calibri" w:cs="Calibri"/>
          <w:lang w:val="sk-SK"/>
        </w:rPr>
        <w:t xml:space="preserve"> </w:t>
      </w:r>
      <w:hyperlink r:id="rId10" w:history="1">
        <w:r w:rsidRPr="001B2492">
          <w:rPr>
            <w:rStyle w:val="Hypertextovprepojenie"/>
            <w:color w:val="auto"/>
            <w:lang w:val="sk-SK"/>
          </w:rPr>
          <w:t>tlacove@skdp.sk</w:t>
        </w:r>
      </w:hyperlink>
      <w:r w:rsidRPr="001B2492">
        <w:rPr>
          <w:lang w:val="sk-SK"/>
        </w:rPr>
        <w:t xml:space="preserve">, </w:t>
      </w:r>
      <w:proofErr w:type="spellStart"/>
      <w:r w:rsidRPr="001B2492">
        <w:rPr>
          <w:lang w:val="sk-SK"/>
        </w:rPr>
        <w:t>tel</w:t>
      </w:r>
      <w:proofErr w:type="spellEnd"/>
      <w:r w:rsidRPr="001B2492">
        <w:rPr>
          <w:lang w:val="sk-SK"/>
        </w:rPr>
        <w:t>: +421 908 169 879</w:t>
      </w:r>
    </w:p>
    <w:p w14:paraId="6F5DB51D" w14:textId="749FF717" w:rsidR="00BC54D6" w:rsidRPr="001B2492" w:rsidRDefault="00FF0439" w:rsidP="00267571">
      <w:pPr>
        <w:spacing w:after="0" w:line="240" w:lineRule="auto"/>
        <w:ind w:left="4962"/>
        <w:jc w:val="both"/>
        <w:rPr>
          <w:lang w:val="sk-SK"/>
        </w:rPr>
      </w:pPr>
      <w:r w:rsidRPr="001B2492">
        <w:rPr>
          <w:lang w:val="sk-SK"/>
        </w:rPr>
        <w:t xml:space="preserve">Trnavská cesta 74/A, 821 02 Bratislava </w:t>
      </w:r>
    </w:p>
    <w:sectPr w:rsidR="00BC54D6" w:rsidRPr="001B2492" w:rsidSect="00A372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BD44" w14:textId="77777777" w:rsidR="0038093A" w:rsidRDefault="0038093A" w:rsidP="003509AD">
      <w:pPr>
        <w:spacing w:after="0" w:line="240" w:lineRule="auto"/>
      </w:pPr>
      <w:r>
        <w:separator/>
      </w:r>
    </w:p>
  </w:endnote>
  <w:endnote w:type="continuationSeparator" w:id="0">
    <w:p w14:paraId="163DBDC8" w14:textId="77777777" w:rsidR="0038093A" w:rsidRDefault="0038093A" w:rsidP="0035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574D" w14:textId="77777777" w:rsidR="003509AD" w:rsidRDefault="003509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B121" w14:textId="77777777" w:rsidR="003509AD" w:rsidRDefault="003509A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3278" w14:textId="77777777" w:rsidR="003509AD" w:rsidRDefault="003509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02F7" w14:textId="77777777" w:rsidR="0038093A" w:rsidRDefault="0038093A" w:rsidP="003509AD">
      <w:pPr>
        <w:spacing w:after="0" w:line="240" w:lineRule="auto"/>
      </w:pPr>
      <w:r>
        <w:separator/>
      </w:r>
    </w:p>
  </w:footnote>
  <w:footnote w:type="continuationSeparator" w:id="0">
    <w:p w14:paraId="38A277D1" w14:textId="77777777" w:rsidR="0038093A" w:rsidRDefault="0038093A" w:rsidP="0035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FA84" w14:textId="77777777" w:rsidR="003509AD" w:rsidRDefault="003509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2CC5" w14:textId="77777777" w:rsidR="003509AD" w:rsidRDefault="003509A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920C" w14:textId="77777777" w:rsidR="003509AD" w:rsidRDefault="003509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82A02"/>
    <w:multiLevelType w:val="hybridMultilevel"/>
    <w:tmpl w:val="41DA9DF4"/>
    <w:lvl w:ilvl="0" w:tplc="5B1A6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9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D6"/>
    <w:rsid w:val="00040B42"/>
    <w:rsid w:val="000478DD"/>
    <w:rsid w:val="00054C92"/>
    <w:rsid w:val="000614CE"/>
    <w:rsid w:val="0007701A"/>
    <w:rsid w:val="000A474B"/>
    <w:rsid w:val="000C2D77"/>
    <w:rsid w:val="000C77DD"/>
    <w:rsid w:val="000D33F5"/>
    <w:rsid w:val="000F16C1"/>
    <w:rsid w:val="00105FF8"/>
    <w:rsid w:val="00134B97"/>
    <w:rsid w:val="0013529E"/>
    <w:rsid w:val="001362E3"/>
    <w:rsid w:val="00147359"/>
    <w:rsid w:val="00155D39"/>
    <w:rsid w:val="00165A6B"/>
    <w:rsid w:val="001825A1"/>
    <w:rsid w:val="00194B63"/>
    <w:rsid w:val="001B2492"/>
    <w:rsid w:val="001F6FC2"/>
    <w:rsid w:val="00205565"/>
    <w:rsid w:val="00217183"/>
    <w:rsid w:val="00241A8A"/>
    <w:rsid w:val="00255AC5"/>
    <w:rsid w:val="0025711C"/>
    <w:rsid w:val="00267571"/>
    <w:rsid w:val="002C6C72"/>
    <w:rsid w:val="002D4BF5"/>
    <w:rsid w:val="002D564A"/>
    <w:rsid w:val="002E164A"/>
    <w:rsid w:val="00326685"/>
    <w:rsid w:val="00335F63"/>
    <w:rsid w:val="003509AD"/>
    <w:rsid w:val="003801C3"/>
    <w:rsid w:val="0038093A"/>
    <w:rsid w:val="00387050"/>
    <w:rsid w:val="003A178B"/>
    <w:rsid w:val="003C0ACF"/>
    <w:rsid w:val="003F067A"/>
    <w:rsid w:val="00410A51"/>
    <w:rsid w:val="00423B84"/>
    <w:rsid w:val="00427FAB"/>
    <w:rsid w:val="004304AD"/>
    <w:rsid w:val="00453C7E"/>
    <w:rsid w:val="004655DE"/>
    <w:rsid w:val="004720E6"/>
    <w:rsid w:val="004C0D9E"/>
    <w:rsid w:val="004D03EE"/>
    <w:rsid w:val="004D0B24"/>
    <w:rsid w:val="004D1522"/>
    <w:rsid w:val="004E77E5"/>
    <w:rsid w:val="005069F6"/>
    <w:rsid w:val="005249D9"/>
    <w:rsid w:val="005731DF"/>
    <w:rsid w:val="00573D79"/>
    <w:rsid w:val="0057448D"/>
    <w:rsid w:val="005B0602"/>
    <w:rsid w:val="005C640D"/>
    <w:rsid w:val="005E505E"/>
    <w:rsid w:val="005E7FA6"/>
    <w:rsid w:val="0060508D"/>
    <w:rsid w:val="00626F39"/>
    <w:rsid w:val="00655603"/>
    <w:rsid w:val="00655DF7"/>
    <w:rsid w:val="00692028"/>
    <w:rsid w:val="0069254C"/>
    <w:rsid w:val="00696961"/>
    <w:rsid w:val="006A0551"/>
    <w:rsid w:val="006A05AE"/>
    <w:rsid w:val="006A5AFC"/>
    <w:rsid w:val="006B10EB"/>
    <w:rsid w:val="00701636"/>
    <w:rsid w:val="00721597"/>
    <w:rsid w:val="007276CB"/>
    <w:rsid w:val="0074299E"/>
    <w:rsid w:val="0078094E"/>
    <w:rsid w:val="00781A43"/>
    <w:rsid w:val="00786949"/>
    <w:rsid w:val="00790342"/>
    <w:rsid w:val="007906CF"/>
    <w:rsid w:val="007A080B"/>
    <w:rsid w:val="007A19B0"/>
    <w:rsid w:val="007C3888"/>
    <w:rsid w:val="007D506D"/>
    <w:rsid w:val="007D65B5"/>
    <w:rsid w:val="007D7434"/>
    <w:rsid w:val="007E4C1A"/>
    <w:rsid w:val="007F4662"/>
    <w:rsid w:val="00805E48"/>
    <w:rsid w:val="00807B72"/>
    <w:rsid w:val="00822611"/>
    <w:rsid w:val="00831161"/>
    <w:rsid w:val="00840BFE"/>
    <w:rsid w:val="008428B1"/>
    <w:rsid w:val="00845F22"/>
    <w:rsid w:val="00853B0A"/>
    <w:rsid w:val="0087171E"/>
    <w:rsid w:val="008D2BCB"/>
    <w:rsid w:val="008D7DB7"/>
    <w:rsid w:val="009034BA"/>
    <w:rsid w:val="00907CF1"/>
    <w:rsid w:val="0091432A"/>
    <w:rsid w:val="00937CF7"/>
    <w:rsid w:val="009543D7"/>
    <w:rsid w:val="009A410B"/>
    <w:rsid w:val="009C6D47"/>
    <w:rsid w:val="009D741E"/>
    <w:rsid w:val="00A102AB"/>
    <w:rsid w:val="00A37282"/>
    <w:rsid w:val="00A70D56"/>
    <w:rsid w:val="00AA6AB4"/>
    <w:rsid w:val="00AB7ADB"/>
    <w:rsid w:val="00AD08E2"/>
    <w:rsid w:val="00AF4E59"/>
    <w:rsid w:val="00B055A4"/>
    <w:rsid w:val="00B15662"/>
    <w:rsid w:val="00B176C3"/>
    <w:rsid w:val="00B40D7B"/>
    <w:rsid w:val="00BB3887"/>
    <w:rsid w:val="00BC4E33"/>
    <w:rsid w:val="00BC54D6"/>
    <w:rsid w:val="00BD56EC"/>
    <w:rsid w:val="00BF46CD"/>
    <w:rsid w:val="00C00A9A"/>
    <w:rsid w:val="00C25FC8"/>
    <w:rsid w:val="00C322BF"/>
    <w:rsid w:val="00C45479"/>
    <w:rsid w:val="00C503C1"/>
    <w:rsid w:val="00C56CBD"/>
    <w:rsid w:val="00C776F6"/>
    <w:rsid w:val="00C83FBC"/>
    <w:rsid w:val="00C85469"/>
    <w:rsid w:val="00C87D51"/>
    <w:rsid w:val="00CB1B99"/>
    <w:rsid w:val="00D02442"/>
    <w:rsid w:val="00D05807"/>
    <w:rsid w:val="00D1186D"/>
    <w:rsid w:val="00D24636"/>
    <w:rsid w:val="00D440EB"/>
    <w:rsid w:val="00D46381"/>
    <w:rsid w:val="00D647FD"/>
    <w:rsid w:val="00DA7FC9"/>
    <w:rsid w:val="00DB2A01"/>
    <w:rsid w:val="00DB4176"/>
    <w:rsid w:val="00DC1F27"/>
    <w:rsid w:val="00DD75E4"/>
    <w:rsid w:val="00DE5A7A"/>
    <w:rsid w:val="00DE6759"/>
    <w:rsid w:val="00DF0867"/>
    <w:rsid w:val="00DF1B94"/>
    <w:rsid w:val="00E10998"/>
    <w:rsid w:val="00E42870"/>
    <w:rsid w:val="00E5286C"/>
    <w:rsid w:val="00E52AFA"/>
    <w:rsid w:val="00E57CB1"/>
    <w:rsid w:val="00E81CC8"/>
    <w:rsid w:val="00E91AFD"/>
    <w:rsid w:val="00E92A9C"/>
    <w:rsid w:val="00EA1084"/>
    <w:rsid w:val="00EA53D1"/>
    <w:rsid w:val="00ED5C69"/>
    <w:rsid w:val="00EF1D52"/>
    <w:rsid w:val="00F02391"/>
    <w:rsid w:val="00F32FB1"/>
    <w:rsid w:val="00F43642"/>
    <w:rsid w:val="00F5594C"/>
    <w:rsid w:val="00F64BC4"/>
    <w:rsid w:val="00FB2D76"/>
    <w:rsid w:val="00FE0734"/>
    <w:rsid w:val="00FE10FA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F083B"/>
  <w15:docId w15:val="{FFF9D0C1-13E7-9840-99B0-18D3AD29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55DF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2" w:lineRule="auto"/>
      <w:ind w:left="864" w:right="864"/>
      <w:jc w:val="center"/>
    </w:pPr>
    <w:rPr>
      <w:i/>
      <w:iCs/>
      <w:color w:val="4472C4" w:themeColor="accent1"/>
      <w:lang w:val="cs-CZ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55DF7"/>
    <w:rPr>
      <w:i/>
      <w:iCs/>
      <w:color w:val="4472C4" w:themeColor="accent1"/>
      <w:lang w:val="cs-CZ"/>
    </w:rPr>
  </w:style>
  <w:style w:type="paragraph" w:styleId="Pta">
    <w:name w:val="footer"/>
    <w:basedOn w:val="Normlny"/>
    <w:link w:val="PtaChar"/>
    <w:uiPriority w:val="99"/>
    <w:unhideWhenUsed/>
    <w:rsid w:val="00350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09AD"/>
  </w:style>
  <w:style w:type="paragraph" w:styleId="Revzia">
    <w:name w:val="Revision"/>
    <w:hidden/>
    <w:uiPriority w:val="99"/>
    <w:semiHidden/>
    <w:rsid w:val="00D647FD"/>
    <w:pPr>
      <w:spacing w:after="0" w:line="240" w:lineRule="auto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43D7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99"/>
    <w:rsid w:val="003A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lacove@skdp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SKDP Adriana Horváthová</dc:creator>
  <cp:lastModifiedBy>Tajomnik@skdp.sk</cp:lastModifiedBy>
  <cp:revision>5</cp:revision>
  <dcterms:created xsi:type="dcterms:W3CDTF">2022-10-26T05:50:00Z</dcterms:created>
  <dcterms:modified xsi:type="dcterms:W3CDTF">2022-10-26T07:25:00Z</dcterms:modified>
</cp:coreProperties>
</file>