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B344" w14:textId="77777777" w:rsidR="005C0E5F" w:rsidRPr="00DE022F" w:rsidRDefault="005C0E5F" w:rsidP="00983EB7">
      <w:pPr>
        <w:jc w:val="both"/>
        <w:rPr>
          <w:rFonts w:asciiTheme="majorHAnsi" w:hAnsiTheme="majorHAnsi" w:cstheme="majorHAnsi"/>
          <w:sz w:val="22"/>
          <w:szCs w:val="22"/>
        </w:rPr>
      </w:pPr>
    </w:p>
    <w:p w14:paraId="53887BEF" w14:textId="77777777" w:rsidR="000D1147" w:rsidRPr="00DE022F" w:rsidRDefault="000D1147" w:rsidP="00983EB7">
      <w:pPr>
        <w:jc w:val="both"/>
        <w:rPr>
          <w:rFonts w:asciiTheme="majorHAnsi" w:hAnsiTheme="majorHAnsi" w:cstheme="majorHAnsi"/>
          <w:sz w:val="22"/>
          <w:szCs w:val="22"/>
        </w:rPr>
      </w:pPr>
    </w:p>
    <w:p w14:paraId="518671C2" w14:textId="77777777" w:rsidR="000D1147" w:rsidRPr="00DE022F" w:rsidRDefault="000D1147" w:rsidP="00983EB7">
      <w:pPr>
        <w:shd w:val="clear" w:color="auto" w:fill="FFFFFF"/>
        <w:jc w:val="center"/>
        <w:rPr>
          <w:rFonts w:asciiTheme="majorHAnsi" w:hAnsiTheme="majorHAnsi" w:cstheme="majorHAnsi"/>
          <w:sz w:val="22"/>
          <w:szCs w:val="22"/>
        </w:rPr>
      </w:pPr>
    </w:p>
    <w:p w14:paraId="33772D0B" w14:textId="77777777" w:rsidR="000D1147" w:rsidRPr="00DE022F" w:rsidRDefault="000D1147" w:rsidP="00983EB7">
      <w:pPr>
        <w:jc w:val="center"/>
        <w:rPr>
          <w:rFonts w:asciiTheme="majorHAnsi" w:hAnsiTheme="majorHAnsi" w:cstheme="majorHAnsi"/>
          <w:sz w:val="22"/>
          <w:szCs w:val="22"/>
        </w:rPr>
      </w:pPr>
      <w:r w:rsidRPr="00DE022F">
        <w:rPr>
          <w:rFonts w:asciiTheme="majorHAnsi" w:hAnsiTheme="majorHAnsi" w:cstheme="majorHAnsi"/>
          <w:color w:val="3C78B4"/>
          <w:sz w:val="22"/>
          <w:szCs w:val="22"/>
        </w:rPr>
        <w:t>Informácia pre prezídium SKDP</w:t>
      </w:r>
    </w:p>
    <w:p w14:paraId="478AD0C0" w14:textId="77777777" w:rsidR="000D1147" w:rsidRPr="00DE022F" w:rsidRDefault="000D1147" w:rsidP="00983EB7">
      <w:pPr>
        <w:jc w:val="center"/>
        <w:rPr>
          <w:rFonts w:asciiTheme="majorHAnsi" w:hAnsiTheme="majorHAnsi" w:cstheme="majorHAnsi"/>
          <w:sz w:val="22"/>
          <w:szCs w:val="22"/>
        </w:rPr>
      </w:pPr>
    </w:p>
    <w:p w14:paraId="2A86DC70" w14:textId="4B45CA98" w:rsidR="00DE022F" w:rsidRPr="009642CE" w:rsidRDefault="00DE022F" w:rsidP="00983EB7">
      <w:pPr>
        <w:spacing w:after="160" w:line="259" w:lineRule="auto"/>
        <w:jc w:val="center"/>
        <w:rPr>
          <w:rFonts w:asciiTheme="majorHAnsi" w:hAnsiTheme="majorHAnsi" w:cstheme="majorHAnsi"/>
          <w:sz w:val="22"/>
          <w:szCs w:val="22"/>
        </w:rPr>
      </w:pPr>
      <w:r>
        <w:rPr>
          <w:rFonts w:asciiTheme="majorHAnsi" w:hAnsiTheme="majorHAnsi" w:cstheme="majorHAnsi"/>
          <w:b/>
          <w:bCs/>
          <w:sz w:val="22"/>
          <w:szCs w:val="22"/>
        </w:rPr>
        <w:t>Informácia k</w:t>
      </w:r>
      <w:r w:rsidRPr="009642CE">
        <w:rPr>
          <w:rFonts w:asciiTheme="majorHAnsi" w:hAnsiTheme="majorHAnsi" w:cstheme="majorHAnsi"/>
          <w:b/>
          <w:bCs/>
          <w:sz w:val="22"/>
          <w:szCs w:val="22"/>
        </w:rPr>
        <w:t xml:space="preserve"> možnosti vytvorenia spoločnej komory pre audítorov a daňových poradcov v kontexte európskej legislatívy</w:t>
      </w:r>
    </w:p>
    <w:p w14:paraId="12C37C52" w14:textId="77777777" w:rsidR="00DE022F" w:rsidRPr="009642CE" w:rsidRDefault="00DE022F" w:rsidP="00983EB7">
      <w:pPr>
        <w:spacing w:after="160" w:line="259" w:lineRule="auto"/>
        <w:jc w:val="both"/>
        <w:rPr>
          <w:rFonts w:asciiTheme="majorHAnsi" w:hAnsiTheme="majorHAnsi" w:cstheme="majorHAnsi"/>
          <w:sz w:val="22"/>
          <w:szCs w:val="22"/>
        </w:rPr>
      </w:pPr>
      <w:r w:rsidRPr="00DE022F">
        <w:rPr>
          <w:rFonts w:asciiTheme="majorHAnsi" w:hAnsiTheme="majorHAnsi" w:cstheme="majorHAnsi"/>
          <w:sz w:val="22"/>
          <w:szCs w:val="22"/>
        </w:rPr>
        <w:t>Predmetom posúdenia je</w:t>
      </w:r>
      <w:r w:rsidRPr="009642CE">
        <w:rPr>
          <w:rFonts w:asciiTheme="majorHAnsi" w:hAnsiTheme="majorHAnsi" w:cstheme="majorHAnsi"/>
          <w:sz w:val="22"/>
          <w:szCs w:val="22"/>
        </w:rPr>
        <w:t>, či európska legislatíva bráni vytvoreniu jednej spoločnej profesijnej komory, ktorá by zastrešovala profesiu štatutárnych audítorov a daňových poradcov. V tejto súvislosti boli analyzované nasledovné dokumenty:</w:t>
      </w:r>
    </w:p>
    <w:p w14:paraId="70852223" w14:textId="77777777" w:rsidR="00DE022F" w:rsidRPr="009642CE" w:rsidRDefault="00DE022F" w:rsidP="00983EB7">
      <w:pPr>
        <w:numPr>
          <w:ilvl w:val="0"/>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Smernica Európskeho parlamentu a Rady 2006/43/ES o štatutárnom audite</w:t>
      </w:r>
      <w:r w:rsidRPr="009642CE">
        <w:rPr>
          <w:rFonts w:asciiTheme="majorHAnsi" w:hAnsiTheme="majorHAnsi" w:cstheme="majorHAnsi"/>
          <w:sz w:val="22"/>
          <w:szCs w:val="22"/>
        </w:rPr>
        <w:t xml:space="preserve"> (v znení neskorších zmien a doplnkov), ktorá upravuje požiadavky na štatutárny audit, postavenie audítorov a audítorských spoločností, ako aj dohľad nad touto profesiou.</w:t>
      </w:r>
    </w:p>
    <w:p w14:paraId="3E7B9C70" w14:textId="77777777" w:rsidR="00DE022F" w:rsidRPr="009642CE" w:rsidRDefault="00DE022F" w:rsidP="00983EB7">
      <w:p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Dôležité aspekty:</w:t>
      </w:r>
    </w:p>
    <w:p w14:paraId="272D5B1E" w14:textId="77777777"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Vyžaduje nezávislý verejný dohľad nad štatutárnymi audítormi (Článok 32)</w:t>
      </w:r>
      <w:r w:rsidRPr="00DE022F">
        <w:rPr>
          <w:rStyle w:val="Odkaznapoznmkupodiarou"/>
          <w:rFonts w:asciiTheme="majorHAnsi" w:hAnsiTheme="majorHAnsi" w:cstheme="majorHAnsi"/>
          <w:sz w:val="22"/>
          <w:szCs w:val="22"/>
        </w:rPr>
        <w:footnoteReference w:id="1"/>
      </w:r>
      <w:r w:rsidRPr="009642CE">
        <w:rPr>
          <w:rFonts w:asciiTheme="majorHAnsi" w:hAnsiTheme="majorHAnsi" w:cstheme="majorHAnsi"/>
          <w:sz w:val="22"/>
          <w:szCs w:val="22"/>
        </w:rPr>
        <w:t>.</w:t>
      </w:r>
    </w:p>
    <w:p w14:paraId="120D4CFE" w14:textId="0EADB84F"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Zavádza povinnosť zabezpečiť kvalitnú kontrolu a dohľad nad výkonom audítorskej profesie (Článok 29)</w:t>
      </w:r>
      <w:r w:rsidR="00EA19E9">
        <w:rPr>
          <w:rStyle w:val="Odkaznapoznmkupodiarou"/>
          <w:rFonts w:asciiTheme="majorHAnsi" w:hAnsiTheme="majorHAnsi" w:cstheme="majorHAnsi"/>
          <w:sz w:val="22"/>
          <w:szCs w:val="22"/>
        </w:rPr>
        <w:footnoteReference w:id="2"/>
      </w:r>
      <w:r w:rsidRPr="009642CE">
        <w:rPr>
          <w:rFonts w:asciiTheme="majorHAnsi" w:hAnsiTheme="majorHAnsi" w:cstheme="majorHAnsi"/>
          <w:sz w:val="22"/>
          <w:szCs w:val="22"/>
        </w:rPr>
        <w:t>.</w:t>
      </w:r>
    </w:p>
    <w:p w14:paraId="0CEE69B0" w14:textId="77777777" w:rsidR="00BF6FCD" w:rsidRDefault="00BF6FCD" w:rsidP="00BF6FCD">
      <w:pPr>
        <w:spacing w:after="160" w:line="259" w:lineRule="auto"/>
        <w:ind w:left="1440"/>
        <w:jc w:val="both"/>
        <w:rPr>
          <w:rFonts w:asciiTheme="majorHAnsi" w:hAnsiTheme="majorHAnsi" w:cstheme="majorHAnsi"/>
          <w:sz w:val="22"/>
          <w:szCs w:val="22"/>
        </w:rPr>
      </w:pPr>
    </w:p>
    <w:p w14:paraId="454C3DE6" w14:textId="77777777" w:rsidR="00BF6FCD" w:rsidRDefault="00BF6FCD" w:rsidP="00BF6FCD">
      <w:pPr>
        <w:spacing w:after="160" w:line="259" w:lineRule="auto"/>
        <w:ind w:left="1440"/>
        <w:jc w:val="both"/>
        <w:rPr>
          <w:rFonts w:asciiTheme="majorHAnsi" w:hAnsiTheme="majorHAnsi" w:cstheme="majorHAnsi"/>
          <w:sz w:val="22"/>
          <w:szCs w:val="22"/>
        </w:rPr>
      </w:pPr>
    </w:p>
    <w:p w14:paraId="348539E4" w14:textId="77777777" w:rsidR="00BF6FCD" w:rsidRDefault="00BF6FCD" w:rsidP="00BF6FCD">
      <w:pPr>
        <w:spacing w:after="160" w:line="259" w:lineRule="auto"/>
        <w:ind w:left="1440"/>
        <w:jc w:val="both"/>
        <w:rPr>
          <w:rFonts w:asciiTheme="majorHAnsi" w:hAnsiTheme="majorHAnsi" w:cstheme="majorHAnsi"/>
          <w:sz w:val="22"/>
          <w:szCs w:val="22"/>
        </w:rPr>
      </w:pPr>
    </w:p>
    <w:p w14:paraId="15B538F5" w14:textId="77777777" w:rsidR="00BF6FCD" w:rsidRDefault="00BF6FCD" w:rsidP="00BF6FCD">
      <w:pPr>
        <w:spacing w:after="160" w:line="259" w:lineRule="auto"/>
        <w:ind w:left="1440"/>
        <w:jc w:val="both"/>
        <w:rPr>
          <w:rFonts w:asciiTheme="majorHAnsi" w:hAnsiTheme="majorHAnsi" w:cstheme="majorHAnsi"/>
          <w:sz w:val="22"/>
          <w:szCs w:val="22"/>
        </w:rPr>
      </w:pPr>
    </w:p>
    <w:p w14:paraId="234F5D81" w14:textId="760AC1AE" w:rsidR="00DE022F" w:rsidRPr="009642CE" w:rsidRDefault="00AF2075" w:rsidP="00983EB7">
      <w:pPr>
        <w:numPr>
          <w:ilvl w:val="1"/>
          <w:numId w:val="7"/>
        </w:numPr>
        <w:spacing w:after="160" w:line="259" w:lineRule="auto"/>
        <w:jc w:val="both"/>
        <w:rPr>
          <w:rFonts w:asciiTheme="majorHAnsi" w:hAnsiTheme="majorHAnsi" w:cstheme="majorHAnsi"/>
          <w:sz w:val="22"/>
          <w:szCs w:val="22"/>
        </w:rPr>
      </w:pPr>
      <w:r>
        <w:rPr>
          <w:rFonts w:asciiTheme="majorHAnsi" w:hAnsiTheme="majorHAnsi" w:cstheme="majorHAnsi"/>
          <w:sz w:val="22"/>
          <w:szCs w:val="22"/>
        </w:rPr>
        <w:t>s</w:t>
      </w:r>
      <w:r w:rsidR="00DE022F" w:rsidRPr="009642CE">
        <w:rPr>
          <w:rFonts w:asciiTheme="majorHAnsi" w:hAnsiTheme="majorHAnsi" w:cstheme="majorHAnsi"/>
          <w:sz w:val="22"/>
          <w:szCs w:val="22"/>
        </w:rPr>
        <w:t>tanovuje špecifické pravidlá pre výkon audítorskej činnosti, ktoré by mohli byť problematické pri zlúčení so štandardmi pre daňových poradcov, napríklad požiadavka na absolútnu nezávislosť od klienta, čo nie je vždy aplikovateľné na daňových poradcov.</w:t>
      </w:r>
    </w:p>
    <w:p w14:paraId="36C2DE4D" w14:textId="77777777" w:rsidR="00DE022F" w:rsidRPr="009642CE" w:rsidRDefault="00DE022F" w:rsidP="00983EB7">
      <w:pPr>
        <w:numPr>
          <w:ilvl w:val="0"/>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Smernica Európskeho parlamentu a Rady 2005/36/ES o uznávaní odborných kvalifikácií</w:t>
      </w:r>
      <w:r w:rsidRPr="009642CE">
        <w:rPr>
          <w:rFonts w:asciiTheme="majorHAnsi" w:hAnsiTheme="majorHAnsi" w:cstheme="majorHAnsi"/>
          <w:sz w:val="22"/>
          <w:szCs w:val="22"/>
        </w:rPr>
        <w:t xml:space="preserve"> (v znení neskorších zmien a doplnkov), ktorá definuje pravidlá pre regulované povolania v EÚ, vrátane minimálnych požiadaviek na vzdelanie a odbornú spôsobilosť.</w:t>
      </w:r>
    </w:p>
    <w:p w14:paraId="6CD711E7" w14:textId="77777777" w:rsidR="00DE022F" w:rsidRPr="009642CE" w:rsidRDefault="00DE022F" w:rsidP="00983EB7">
      <w:p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Dôležité aspekty:</w:t>
      </w:r>
    </w:p>
    <w:p w14:paraId="74CE7D86" w14:textId="77777777"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Umožňuje mobilitu odborníkov medzi členskými štátmi prostredníctvom mechanizmov uznávania kvalifikácií (Články 4 a 13).</w:t>
      </w:r>
    </w:p>
    <w:p w14:paraId="30B2824E" w14:textId="77777777"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Spoločná komora by musela zosúladiť rozdielne kvalifikačné požiadavky oboch profesií a zabezpečiť transparentný proces uznávania kvalifikácií.</w:t>
      </w:r>
    </w:p>
    <w:p w14:paraId="4B3DB14B" w14:textId="77777777" w:rsidR="00DE022F" w:rsidRPr="009642CE" w:rsidRDefault="00DE022F" w:rsidP="00983EB7">
      <w:pPr>
        <w:numPr>
          <w:ilvl w:val="0"/>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Smernica Európskeho parlamentu a Rady 2018/958 o teste proporcionality pred prijatím novej regulácie povolaní</w:t>
      </w:r>
      <w:r w:rsidRPr="009642CE">
        <w:rPr>
          <w:rFonts w:asciiTheme="majorHAnsi" w:hAnsiTheme="majorHAnsi" w:cstheme="majorHAnsi"/>
          <w:sz w:val="22"/>
          <w:szCs w:val="22"/>
        </w:rPr>
        <w:t>, ktorá stanovuje pravidlá pre posúdenie proporcionality legislatívnych opatrení obmedzujúcich prístup k regulovaným povolaniam alebo ich vykonávanie.</w:t>
      </w:r>
    </w:p>
    <w:p w14:paraId="18C7649D" w14:textId="77777777" w:rsidR="00DE022F" w:rsidRPr="009642CE" w:rsidRDefault="00DE022F" w:rsidP="00983EB7">
      <w:p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Dôležité aspekty:</w:t>
      </w:r>
    </w:p>
    <w:p w14:paraId="346B90C3" w14:textId="2BDBC9C5"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Každé legislatívne opatrenie obmedzujúce prístup k regulovanému povolaniu musí byť odôvodnené cieľmi verejného záujmu, ako je ochrana spotrebiteľa alebo kvalita služieb</w:t>
      </w:r>
      <w:r w:rsidR="00D74163">
        <w:rPr>
          <w:rFonts w:asciiTheme="majorHAnsi" w:hAnsiTheme="majorHAnsi" w:cstheme="majorHAnsi"/>
          <w:sz w:val="22"/>
          <w:szCs w:val="22"/>
        </w:rPr>
        <w:t xml:space="preserve"> (článok 6)</w:t>
      </w:r>
      <w:r w:rsidR="00FA1DD8">
        <w:rPr>
          <w:rStyle w:val="Odkaznapoznmkupodiarou"/>
          <w:rFonts w:asciiTheme="majorHAnsi" w:hAnsiTheme="majorHAnsi" w:cstheme="majorHAnsi"/>
          <w:sz w:val="22"/>
          <w:szCs w:val="22"/>
        </w:rPr>
        <w:footnoteReference w:id="3"/>
      </w:r>
      <w:r w:rsidRPr="009642CE">
        <w:rPr>
          <w:rFonts w:asciiTheme="majorHAnsi" w:hAnsiTheme="majorHAnsi" w:cstheme="majorHAnsi"/>
          <w:sz w:val="22"/>
          <w:szCs w:val="22"/>
        </w:rPr>
        <w:t>.</w:t>
      </w:r>
    </w:p>
    <w:p w14:paraId="1D9D4562" w14:textId="56140632"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Opatrenia musia byť primerané, vhodné na dosiahnutie sledovaného cieľa a nesmú presahovať rámec toho, čo je nevyhnutné</w:t>
      </w:r>
      <w:r w:rsidR="00FA1DD8">
        <w:rPr>
          <w:rFonts w:asciiTheme="majorHAnsi" w:hAnsiTheme="majorHAnsi" w:cstheme="majorHAnsi"/>
          <w:sz w:val="22"/>
          <w:szCs w:val="22"/>
        </w:rPr>
        <w:t xml:space="preserve"> (článok 7)</w:t>
      </w:r>
      <w:r w:rsidR="00632A81">
        <w:rPr>
          <w:rStyle w:val="Odkaznapoznmkupodiarou"/>
          <w:rFonts w:asciiTheme="majorHAnsi" w:hAnsiTheme="majorHAnsi" w:cstheme="majorHAnsi"/>
          <w:sz w:val="22"/>
          <w:szCs w:val="22"/>
        </w:rPr>
        <w:footnoteReference w:id="4"/>
      </w:r>
      <w:r w:rsidRPr="009642CE">
        <w:rPr>
          <w:rFonts w:asciiTheme="majorHAnsi" w:hAnsiTheme="majorHAnsi" w:cstheme="majorHAnsi"/>
          <w:sz w:val="22"/>
          <w:szCs w:val="22"/>
        </w:rPr>
        <w:t>.</w:t>
      </w:r>
    </w:p>
    <w:p w14:paraId="6417E073" w14:textId="77777777" w:rsidR="00B443BC" w:rsidRDefault="00B443BC" w:rsidP="00B443BC">
      <w:pPr>
        <w:spacing w:after="160" w:line="259" w:lineRule="auto"/>
        <w:ind w:left="1440"/>
        <w:jc w:val="both"/>
        <w:rPr>
          <w:rFonts w:asciiTheme="majorHAnsi" w:hAnsiTheme="majorHAnsi" w:cstheme="majorHAnsi"/>
          <w:sz w:val="22"/>
          <w:szCs w:val="22"/>
        </w:rPr>
      </w:pPr>
    </w:p>
    <w:p w14:paraId="44A7F08D" w14:textId="77777777" w:rsidR="00B443BC" w:rsidRDefault="00B443BC" w:rsidP="00B443BC">
      <w:pPr>
        <w:spacing w:after="160" w:line="259" w:lineRule="auto"/>
        <w:ind w:left="1440"/>
        <w:jc w:val="both"/>
        <w:rPr>
          <w:rFonts w:asciiTheme="majorHAnsi" w:hAnsiTheme="majorHAnsi" w:cstheme="majorHAnsi"/>
          <w:sz w:val="22"/>
          <w:szCs w:val="22"/>
        </w:rPr>
      </w:pPr>
    </w:p>
    <w:p w14:paraId="357B9173" w14:textId="030A7E9D"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Test proporcionality zahŕňa zváženie alternatívnych, menej obmedzujúcich opatrení a analýzu dopadov na voľný pohyb osôb a kvalitu poskytovaných služieb.</w:t>
      </w:r>
    </w:p>
    <w:p w14:paraId="6087C23D" w14:textId="77777777" w:rsidR="00DE022F" w:rsidRPr="009642CE" w:rsidRDefault="00DE022F" w:rsidP="00983EB7">
      <w:pPr>
        <w:numPr>
          <w:ilvl w:val="0"/>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Etický kódex audítora</w:t>
      </w:r>
      <w:r w:rsidRPr="009642CE">
        <w:rPr>
          <w:rFonts w:asciiTheme="majorHAnsi" w:hAnsiTheme="majorHAnsi" w:cstheme="majorHAnsi"/>
          <w:sz w:val="22"/>
          <w:szCs w:val="22"/>
        </w:rPr>
        <w:t xml:space="preserve">, ktorý vychádza z Medzinárodného etického kódexu pre profesionálnych účtovníkov (IESBA </w:t>
      </w:r>
      <w:proofErr w:type="spellStart"/>
      <w:r w:rsidRPr="009642CE">
        <w:rPr>
          <w:rFonts w:asciiTheme="majorHAnsi" w:hAnsiTheme="majorHAnsi" w:cstheme="majorHAnsi"/>
          <w:sz w:val="22"/>
          <w:szCs w:val="22"/>
        </w:rPr>
        <w:t>Code</w:t>
      </w:r>
      <w:proofErr w:type="spellEnd"/>
      <w:r w:rsidRPr="009642CE">
        <w:rPr>
          <w:rFonts w:asciiTheme="majorHAnsi" w:hAnsiTheme="majorHAnsi" w:cstheme="majorHAnsi"/>
          <w:sz w:val="22"/>
          <w:szCs w:val="22"/>
        </w:rPr>
        <w:t>), stanovujúc princípy ako bezúhonnosť, objektivita, odborná spôsobilosť, dôvernosť a profesionálne správanie.</w:t>
      </w:r>
    </w:p>
    <w:p w14:paraId="533399B7" w14:textId="77777777" w:rsidR="00DE022F" w:rsidRPr="009642CE" w:rsidRDefault="00DE022F" w:rsidP="00983EB7">
      <w:p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Dôležité aspekty:</w:t>
      </w:r>
    </w:p>
    <w:p w14:paraId="7D9CEF79" w14:textId="77777777"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 xml:space="preserve">Obsahuje špecifické princípy pre audítorov, ktoré zohľadňujú potrebu nezávislosti (Časti 4A a 4B IESBA </w:t>
      </w:r>
      <w:proofErr w:type="spellStart"/>
      <w:r w:rsidRPr="009642CE">
        <w:rPr>
          <w:rFonts w:asciiTheme="majorHAnsi" w:hAnsiTheme="majorHAnsi" w:cstheme="majorHAnsi"/>
          <w:sz w:val="22"/>
          <w:szCs w:val="22"/>
        </w:rPr>
        <w:t>Code</w:t>
      </w:r>
      <w:proofErr w:type="spellEnd"/>
      <w:r w:rsidRPr="009642CE">
        <w:rPr>
          <w:rFonts w:asciiTheme="majorHAnsi" w:hAnsiTheme="majorHAnsi" w:cstheme="majorHAnsi"/>
          <w:sz w:val="22"/>
          <w:szCs w:val="22"/>
        </w:rPr>
        <w:t>).</w:t>
      </w:r>
    </w:p>
    <w:p w14:paraId="089BE7AD" w14:textId="77777777" w:rsidR="00DE022F" w:rsidRPr="009642CE" w:rsidRDefault="00DE022F" w:rsidP="00983EB7">
      <w:pPr>
        <w:numPr>
          <w:ilvl w:val="1"/>
          <w:numId w:val="7"/>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Etické princípy audítorov sa môžu líšiť od požiadaviek kladených na daňových poradcov, čo môže vyžadovať samostatnú úpravu kódexov v prípade zlúčenia profesií.</w:t>
      </w:r>
    </w:p>
    <w:p w14:paraId="60138EEB" w14:textId="77777777" w:rsidR="00DE022F" w:rsidRPr="009642CE" w:rsidRDefault="00DE022F" w:rsidP="00983EB7">
      <w:pPr>
        <w:spacing w:after="160" w:line="259" w:lineRule="auto"/>
        <w:jc w:val="both"/>
        <w:rPr>
          <w:rFonts w:asciiTheme="majorHAnsi" w:hAnsiTheme="majorHAnsi" w:cstheme="majorHAnsi"/>
          <w:sz w:val="22"/>
          <w:szCs w:val="22"/>
        </w:rPr>
      </w:pPr>
      <w:r w:rsidRPr="00DE022F">
        <w:rPr>
          <w:rFonts w:asciiTheme="majorHAnsi" w:hAnsiTheme="majorHAnsi" w:cstheme="majorHAnsi"/>
          <w:sz w:val="22"/>
          <w:szCs w:val="22"/>
        </w:rPr>
        <w:t>Pri v</w:t>
      </w:r>
      <w:r w:rsidRPr="009642CE">
        <w:rPr>
          <w:rFonts w:asciiTheme="majorHAnsi" w:hAnsiTheme="majorHAnsi" w:cstheme="majorHAnsi"/>
          <w:sz w:val="22"/>
          <w:szCs w:val="22"/>
        </w:rPr>
        <w:t>ytvoren</w:t>
      </w:r>
      <w:r w:rsidRPr="00DE022F">
        <w:rPr>
          <w:rFonts w:asciiTheme="majorHAnsi" w:hAnsiTheme="majorHAnsi" w:cstheme="majorHAnsi"/>
          <w:sz w:val="22"/>
          <w:szCs w:val="22"/>
        </w:rPr>
        <w:t>í</w:t>
      </w:r>
      <w:r w:rsidRPr="009642CE">
        <w:rPr>
          <w:rFonts w:asciiTheme="majorHAnsi" w:hAnsiTheme="majorHAnsi" w:cstheme="majorHAnsi"/>
          <w:sz w:val="22"/>
          <w:szCs w:val="22"/>
        </w:rPr>
        <w:t xml:space="preserve"> jednej komory pre audítorov a daňových </w:t>
      </w:r>
      <w:r w:rsidRPr="00DE022F">
        <w:rPr>
          <w:rFonts w:asciiTheme="majorHAnsi" w:hAnsiTheme="majorHAnsi" w:cstheme="majorHAnsi"/>
          <w:sz w:val="22"/>
          <w:szCs w:val="22"/>
        </w:rPr>
        <w:t>treba zvážiť</w:t>
      </w:r>
      <w:r w:rsidRPr="009642CE">
        <w:rPr>
          <w:rFonts w:asciiTheme="majorHAnsi" w:hAnsiTheme="majorHAnsi" w:cstheme="majorHAnsi"/>
          <w:sz w:val="22"/>
          <w:szCs w:val="22"/>
        </w:rPr>
        <w:t>:</w:t>
      </w:r>
    </w:p>
    <w:p w14:paraId="695EBA9D" w14:textId="77777777" w:rsidR="00DE022F" w:rsidRPr="009642CE" w:rsidRDefault="00DE022F" w:rsidP="00983EB7">
      <w:pPr>
        <w:numPr>
          <w:ilvl w:val="0"/>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Rôzne profesijné požiadavky:</w:t>
      </w:r>
    </w:p>
    <w:p w14:paraId="7644A705" w14:textId="77777777" w:rsidR="00B443BC" w:rsidRDefault="00B443BC" w:rsidP="00BE4F07">
      <w:pPr>
        <w:spacing w:after="160" w:line="259" w:lineRule="auto"/>
        <w:ind w:left="1440"/>
        <w:jc w:val="both"/>
        <w:rPr>
          <w:rFonts w:asciiTheme="majorHAnsi" w:hAnsiTheme="majorHAnsi" w:cstheme="majorHAnsi"/>
          <w:sz w:val="22"/>
          <w:szCs w:val="22"/>
        </w:rPr>
      </w:pPr>
    </w:p>
    <w:p w14:paraId="1A32196F" w14:textId="77777777" w:rsidR="00B443BC" w:rsidRDefault="00B443BC" w:rsidP="00B443BC">
      <w:pPr>
        <w:spacing w:after="160" w:line="259" w:lineRule="auto"/>
        <w:ind w:left="1440"/>
        <w:jc w:val="both"/>
        <w:rPr>
          <w:rFonts w:asciiTheme="majorHAnsi" w:hAnsiTheme="majorHAnsi" w:cstheme="majorHAnsi"/>
          <w:sz w:val="22"/>
          <w:szCs w:val="22"/>
        </w:rPr>
      </w:pPr>
    </w:p>
    <w:p w14:paraId="722A12CA" w14:textId="42C85357" w:rsidR="00DE022F" w:rsidRPr="009642CE" w:rsidRDefault="00DE022F" w:rsidP="00983EB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Audítori podliehajú prísnym pravidlám nezávislosti, ktoré sú zakotvené v Smernici 2006/43/ES a v Etickom kódexe audítor</w:t>
      </w:r>
      <w:r w:rsidRPr="00DE022F">
        <w:rPr>
          <w:rFonts w:asciiTheme="majorHAnsi" w:hAnsiTheme="majorHAnsi" w:cstheme="majorHAnsi"/>
          <w:sz w:val="22"/>
          <w:szCs w:val="22"/>
        </w:rPr>
        <w:t>ov</w:t>
      </w:r>
      <w:r w:rsidRPr="009642CE">
        <w:rPr>
          <w:rFonts w:asciiTheme="majorHAnsi" w:hAnsiTheme="majorHAnsi" w:cstheme="majorHAnsi"/>
          <w:sz w:val="22"/>
          <w:szCs w:val="22"/>
        </w:rPr>
        <w:t>.</w:t>
      </w:r>
    </w:p>
    <w:p w14:paraId="531FD5F4" w14:textId="77777777" w:rsidR="00DE022F" w:rsidRPr="009642CE" w:rsidRDefault="00DE022F" w:rsidP="00983EB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 xml:space="preserve">Daňoví poradcovia majú flexibilnejšie požiadavky na vzťahy s klientmi, </w:t>
      </w:r>
      <w:r w:rsidRPr="00DE022F">
        <w:rPr>
          <w:rFonts w:asciiTheme="majorHAnsi" w:hAnsiTheme="majorHAnsi" w:cstheme="majorHAnsi"/>
          <w:sz w:val="22"/>
          <w:szCs w:val="22"/>
        </w:rPr>
        <w:t>nakoľko sú viazaný pokynom klienta</w:t>
      </w:r>
      <w:r w:rsidRPr="00DE022F">
        <w:rPr>
          <w:rStyle w:val="Odkaznapoznmkupodiarou"/>
          <w:rFonts w:asciiTheme="majorHAnsi" w:hAnsiTheme="majorHAnsi" w:cstheme="majorHAnsi"/>
          <w:sz w:val="22"/>
          <w:szCs w:val="22"/>
        </w:rPr>
        <w:footnoteReference w:id="5"/>
      </w:r>
      <w:r w:rsidRPr="00DE022F">
        <w:rPr>
          <w:rFonts w:asciiTheme="majorHAnsi" w:hAnsiTheme="majorHAnsi" w:cstheme="majorHAnsi"/>
          <w:sz w:val="22"/>
          <w:szCs w:val="22"/>
        </w:rPr>
        <w:t xml:space="preserve">, </w:t>
      </w:r>
      <w:r w:rsidRPr="009642CE">
        <w:rPr>
          <w:rFonts w:asciiTheme="majorHAnsi" w:hAnsiTheme="majorHAnsi" w:cstheme="majorHAnsi"/>
          <w:sz w:val="22"/>
          <w:szCs w:val="22"/>
        </w:rPr>
        <w:t>čo by mohlo byť v rozpore s nezávislosťou vyžadovanou od audítorov.</w:t>
      </w:r>
    </w:p>
    <w:p w14:paraId="581764F5" w14:textId="77777777" w:rsidR="00BE4F07" w:rsidRDefault="00DE022F" w:rsidP="00983EB7">
      <w:pPr>
        <w:numPr>
          <w:ilvl w:val="0"/>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Etické a profesijné štandardy:</w:t>
      </w:r>
      <w:r w:rsidRPr="009642CE">
        <w:rPr>
          <w:rFonts w:asciiTheme="majorHAnsi" w:hAnsiTheme="majorHAnsi" w:cstheme="majorHAnsi"/>
          <w:sz w:val="22"/>
          <w:szCs w:val="22"/>
        </w:rPr>
        <w:t xml:space="preserve"> </w:t>
      </w:r>
    </w:p>
    <w:p w14:paraId="075FD42D" w14:textId="1500BB20" w:rsidR="00DE022F" w:rsidRPr="009642CE" w:rsidRDefault="00DE022F" w:rsidP="00BE4F0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Etický kódex audítora stanovuje princípy zamerané na činnosť audítorov, ktoré sú špecifické a neboli by automaticky aplikovateľné na daňových poradcov. Prispôsobenie alebo zlúčenie etických kódexov by bolo nevyhnutné.</w:t>
      </w:r>
    </w:p>
    <w:p w14:paraId="025B705C" w14:textId="77777777" w:rsidR="00DE022F" w:rsidRPr="009642CE" w:rsidRDefault="00DE022F" w:rsidP="00983EB7">
      <w:pPr>
        <w:numPr>
          <w:ilvl w:val="0"/>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Možné obmedzenie slobody výkonu povolania:</w:t>
      </w:r>
    </w:p>
    <w:p w14:paraId="08F21AC5" w14:textId="77777777" w:rsidR="00DE022F" w:rsidRPr="009642CE" w:rsidRDefault="00DE022F" w:rsidP="00983EB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 xml:space="preserve">Smernica 2018/958 vyžaduje, aby akékoľvek nové obmedzenia pre regulované povolania prešli testom proporcionality. Vytvorenie spoločnej komory by </w:t>
      </w:r>
      <w:r w:rsidRPr="00DE022F">
        <w:rPr>
          <w:rFonts w:asciiTheme="majorHAnsi" w:hAnsiTheme="majorHAnsi" w:cstheme="majorHAnsi"/>
          <w:sz w:val="22"/>
          <w:szCs w:val="22"/>
        </w:rPr>
        <w:t>malo zohľadniť</w:t>
      </w:r>
      <w:r w:rsidRPr="009642CE">
        <w:rPr>
          <w:rFonts w:asciiTheme="majorHAnsi" w:hAnsiTheme="majorHAnsi" w:cstheme="majorHAnsi"/>
          <w:sz w:val="22"/>
          <w:szCs w:val="22"/>
        </w:rPr>
        <w:t xml:space="preserve"> špecifické potreby oboch profesií.</w:t>
      </w:r>
    </w:p>
    <w:p w14:paraId="4AF9A486" w14:textId="77777777" w:rsidR="00DE022F" w:rsidRPr="009642CE" w:rsidRDefault="00DE022F" w:rsidP="00983EB7">
      <w:pPr>
        <w:numPr>
          <w:ilvl w:val="0"/>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Dohľad a kontrola:</w:t>
      </w:r>
    </w:p>
    <w:p w14:paraId="662998E9" w14:textId="77777777" w:rsidR="00DE022F" w:rsidRPr="009642CE" w:rsidRDefault="00DE022F" w:rsidP="00983EB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Audítorská profesia vyžaduje nezávislý verejný dohľad podľa Smernice 2006/43/ES.</w:t>
      </w:r>
    </w:p>
    <w:p w14:paraId="64DC174E" w14:textId="77777777" w:rsidR="00DE022F" w:rsidRPr="009642CE" w:rsidRDefault="00DE022F" w:rsidP="00983EB7">
      <w:pPr>
        <w:numPr>
          <w:ilvl w:val="0"/>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Odlišné vzdelávacie a kvalifikačné požiadavky:</w:t>
      </w:r>
    </w:p>
    <w:p w14:paraId="6A77046B" w14:textId="77777777" w:rsidR="00DE022F" w:rsidRPr="009642CE" w:rsidRDefault="00DE022F" w:rsidP="00983EB7">
      <w:pPr>
        <w:numPr>
          <w:ilvl w:val="1"/>
          <w:numId w:val="8"/>
        </w:numPr>
        <w:spacing w:after="160" w:line="259" w:lineRule="auto"/>
        <w:jc w:val="both"/>
        <w:rPr>
          <w:rFonts w:asciiTheme="majorHAnsi" w:hAnsiTheme="majorHAnsi" w:cstheme="majorHAnsi"/>
          <w:sz w:val="22"/>
          <w:szCs w:val="22"/>
        </w:rPr>
      </w:pPr>
      <w:r w:rsidRPr="009642CE">
        <w:rPr>
          <w:rFonts w:asciiTheme="majorHAnsi" w:hAnsiTheme="majorHAnsi" w:cstheme="majorHAnsi"/>
          <w:sz w:val="22"/>
          <w:szCs w:val="22"/>
        </w:rPr>
        <w:t>Smernica 2005/36/ES stanovuje rôzne minimálne kvalifikačné požiadavky pre každú profesiu.</w:t>
      </w:r>
    </w:p>
    <w:p w14:paraId="11D5999B" w14:textId="77777777" w:rsidR="00BE4F07" w:rsidRDefault="00DE022F" w:rsidP="00983EB7">
      <w:pPr>
        <w:spacing w:after="160" w:line="259" w:lineRule="auto"/>
        <w:jc w:val="both"/>
        <w:rPr>
          <w:rFonts w:asciiTheme="majorHAnsi" w:hAnsiTheme="majorHAnsi" w:cstheme="majorHAnsi"/>
          <w:sz w:val="22"/>
          <w:szCs w:val="22"/>
        </w:rPr>
      </w:pPr>
      <w:r w:rsidRPr="009642CE">
        <w:rPr>
          <w:rFonts w:asciiTheme="majorHAnsi" w:hAnsiTheme="majorHAnsi" w:cstheme="majorHAnsi"/>
          <w:b/>
          <w:bCs/>
          <w:sz w:val="22"/>
          <w:szCs w:val="22"/>
        </w:rPr>
        <w:t>Záver:</w:t>
      </w:r>
      <w:r w:rsidRPr="009642CE">
        <w:rPr>
          <w:rFonts w:asciiTheme="majorHAnsi" w:hAnsiTheme="majorHAnsi" w:cstheme="majorHAnsi"/>
          <w:sz w:val="22"/>
          <w:szCs w:val="22"/>
        </w:rPr>
        <w:t xml:space="preserve"> </w:t>
      </w:r>
    </w:p>
    <w:p w14:paraId="72F16B16" w14:textId="45BD7F9E" w:rsidR="00DE022F" w:rsidRPr="009642CE" w:rsidRDefault="00BE4F07" w:rsidP="00983EB7">
      <w:pPr>
        <w:spacing w:after="160" w:line="259" w:lineRule="auto"/>
        <w:jc w:val="both"/>
        <w:rPr>
          <w:rFonts w:asciiTheme="majorHAnsi" w:hAnsiTheme="majorHAnsi" w:cstheme="majorHAnsi"/>
          <w:sz w:val="22"/>
          <w:szCs w:val="22"/>
        </w:rPr>
      </w:pPr>
      <w:r>
        <w:rPr>
          <w:rFonts w:asciiTheme="majorHAnsi" w:hAnsiTheme="majorHAnsi" w:cstheme="majorHAnsi"/>
          <w:sz w:val="22"/>
          <w:szCs w:val="22"/>
        </w:rPr>
        <w:t>Ž</w:t>
      </w:r>
      <w:r w:rsidR="00DE022F" w:rsidRPr="009642CE">
        <w:rPr>
          <w:rFonts w:asciiTheme="majorHAnsi" w:hAnsiTheme="majorHAnsi" w:cstheme="majorHAnsi"/>
          <w:sz w:val="22"/>
          <w:szCs w:val="22"/>
        </w:rPr>
        <w:t xml:space="preserve">iaden z uvedených predpisov európskej legislatívy </w:t>
      </w:r>
      <w:r w:rsidR="00DE022F" w:rsidRPr="009642CE">
        <w:rPr>
          <w:rFonts w:asciiTheme="majorHAnsi" w:hAnsiTheme="majorHAnsi" w:cstheme="majorHAnsi"/>
          <w:b/>
          <w:bCs/>
          <w:sz w:val="22"/>
          <w:szCs w:val="22"/>
        </w:rPr>
        <w:t>výslovne neupravuje postavenie komory audítorov alebo daňových poradcov</w:t>
      </w:r>
      <w:r w:rsidR="00DE022F" w:rsidRPr="009642CE">
        <w:rPr>
          <w:rFonts w:asciiTheme="majorHAnsi" w:hAnsiTheme="majorHAnsi" w:cstheme="majorHAnsi"/>
          <w:sz w:val="22"/>
          <w:szCs w:val="22"/>
        </w:rPr>
        <w:t>, ani nestanovuje prekážky, ktoré by bránili zriadeniu spoločnej komory pre tieto dve profesie.</w:t>
      </w:r>
    </w:p>
    <w:p w14:paraId="32A6329D" w14:textId="77777777" w:rsidR="00DE022F" w:rsidRPr="00DE022F" w:rsidRDefault="00DE022F" w:rsidP="00983EB7">
      <w:pPr>
        <w:jc w:val="both"/>
        <w:rPr>
          <w:rFonts w:asciiTheme="majorHAnsi" w:hAnsiTheme="majorHAnsi" w:cstheme="majorHAnsi"/>
          <w:sz w:val="22"/>
          <w:szCs w:val="22"/>
        </w:rPr>
      </w:pPr>
    </w:p>
    <w:p w14:paraId="08124FEA" w14:textId="43862291" w:rsidR="000D1147" w:rsidRPr="00DE022F" w:rsidRDefault="000D1147" w:rsidP="00983EB7">
      <w:pPr>
        <w:jc w:val="both"/>
        <w:rPr>
          <w:rFonts w:asciiTheme="majorHAnsi" w:hAnsiTheme="majorHAnsi" w:cstheme="majorHAnsi"/>
          <w:sz w:val="22"/>
          <w:szCs w:val="22"/>
        </w:rPr>
      </w:pPr>
      <w:r w:rsidRPr="00DE022F">
        <w:rPr>
          <w:rFonts w:asciiTheme="majorHAnsi" w:hAnsiTheme="majorHAnsi" w:cstheme="majorHAnsi"/>
          <w:sz w:val="22"/>
          <w:szCs w:val="22"/>
        </w:rPr>
        <w:t xml:space="preserve">Vypracovala Mgr. Zuzana Kolenová </w:t>
      </w:r>
      <w:r w:rsidR="00B71441" w:rsidRPr="00DE022F">
        <w:rPr>
          <w:rFonts w:asciiTheme="majorHAnsi" w:hAnsiTheme="majorHAnsi" w:cstheme="majorHAnsi"/>
          <w:sz w:val="22"/>
          <w:szCs w:val="22"/>
        </w:rPr>
        <w:t>05.12.2024</w:t>
      </w:r>
    </w:p>
    <w:p w14:paraId="72B5F0C9" w14:textId="77777777" w:rsidR="000D1147" w:rsidRPr="00DE022F" w:rsidRDefault="000D1147" w:rsidP="00983EB7">
      <w:pPr>
        <w:jc w:val="both"/>
        <w:rPr>
          <w:rFonts w:asciiTheme="majorHAnsi" w:hAnsiTheme="majorHAnsi" w:cstheme="majorHAnsi"/>
          <w:sz w:val="22"/>
          <w:szCs w:val="22"/>
        </w:rPr>
      </w:pPr>
    </w:p>
    <w:sectPr w:rsidR="000D1147" w:rsidRPr="00DE022F" w:rsidSect="00400733">
      <w:headerReference w:type="default" r:id="rId11"/>
      <w:footerReference w:type="default" r:id="rId12"/>
      <w:pgSz w:w="11906" w:h="16838" w:code="9"/>
      <w:pgMar w:top="1418" w:right="709" w:bottom="907"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B9DC9" w14:textId="77777777" w:rsidR="00B82D45" w:rsidRDefault="00B82D45">
      <w:r>
        <w:separator/>
      </w:r>
    </w:p>
  </w:endnote>
  <w:endnote w:type="continuationSeparator" w:id="0">
    <w:p w14:paraId="5BBB056E" w14:textId="77777777" w:rsidR="00B82D45" w:rsidRDefault="00B8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TC Officina Serif Std Book">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670CB" w14:textId="1743819C" w:rsidR="00353B5E" w:rsidRDefault="00034F1D" w:rsidP="00353B5E">
    <w:pPr>
      <w:tabs>
        <w:tab w:val="center" w:pos="4820"/>
        <w:tab w:val="right" w:pos="9781"/>
      </w:tabs>
      <w:ind w:left="-567"/>
      <w:rPr>
        <w:rFonts w:ascii="ITC Officina Serif Std Book" w:hAnsi="ITC Officina Serif Std Book"/>
        <w:color w:val="3155A4"/>
        <w:sz w:val="18"/>
        <w:szCs w:val="18"/>
      </w:rPr>
    </w:pPr>
    <w:r>
      <w:rPr>
        <w:rFonts w:ascii="ITC Officina Serif Std Book" w:hAnsi="ITC Officina Serif Std Book"/>
        <w:noProof/>
        <w:color w:val="3155A4"/>
        <w:sz w:val="18"/>
        <w:szCs w:val="18"/>
        <w:lang w:eastAsia="sk-SK"/>
      </w:rPr>
      <mc:AlternateContent>
        <mc:Choice Requires="wps">
          <w:drawing>
            <wp:anchor distT="0" distB="0" distL="114300" distR="114300" simplePos="0" relativeHeight="251657728" behindDoc="0" locked="0" layoutInCell="1" allowOverlap="1" wp14:anchorId="4FE959CB" wp14:editId="0759B363">
              <wp:simplePos x="0" y="0"/>
              <wp:positionH relativeFrom="margin">
                <wp:posOffset>-342900</wp:posOffset>
              </wp:positionH>
              <wp:positionV relativeFrom="paragraph">
                <wp:posOffset>72390</wp:posOffset>
              </wp:positionV>
              <wp:extent cx="6551930" cy="0"/>
              <wp:effectExtent l="9525" t="5715" r="10795" b="13335"/>
              <wp:wrapSquare wrapText="bothSides"/>
              <wp:docPr id="6644922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9525">
                        <a:solidFill>
                          <a:srgbClr val="999B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EDAC"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pt,5.7pt" to="488.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" strokecolor="#999b9e">
              <w10:wrap type="square" anchorx="margin"/>
            </v:line>
          </w:pict>
        </mc:Fallback>
      </mc:AlternateContent>
    </w:r>
    <w:r>
      <w:rPr>
        <w:rFonts w:ascii="ITC Officina Serif Std Book" w:hAnsi="ITC Officina Serif Std Book"/>
        <w:noProof/>
        <w:color w:val="3155A4"/>
        <w:sz w:val="18"/>
        <w:szCs w:val="18"/>
        <w:lang w:eastAsia="sk-SK"/>
      </w:rPr>
      <mc:AlternateContent>
        <mc:Choice Requires="wps">
          <w:drawing>
            <wp:anchor distT="0" distB="0" distL="114300" distR="114300" simplePos="0" relativeHeight="251656704" behindDoc="0" locked="0" layoutInCell="1" allowOverlap="1" wp14:anchorId="46268EE5" wp14:editId="5C97D242">
              <wp:simplePos x="0" y="0"/>
              <wp:positionH relativeFrom="column">
                <wp:posOffset>6350</wp:posOffset>
              </wp:positionH>
              <wp:positionV relativeFrom="paragraph">
                <wp:posOffset>-8538210</wp:posOffset>
              </wp:positionV>
              <wp:extent cx="2350770" cy="0"/>
              <wp:effectExtent l="6350" t="5715" r="5080" b="13335"/>
              <wp:wrapNone/>
              <wp:docPr id="10112267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0770" cy="0"/>
                      </a:xfrm>
                      <a:prstGeom prst="line">
                        <a:avLst/>
                      </a:prstGeom>
                      <a:noFill/>
                      <a:ln w="9525">
                        <a:solidFill>
                          <a:srgbClr val="999B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CD19"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72.3pt" to="185.6pt,-6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" strokecolor="#999b9e"/>
          </w:pict>
        </mc:Fallback>
      </mc:AlternateContent>
    </w:r>
  </w:p>
  <w:p w14:paraId="7E01DA02" w14:textId="77777777" w:rsidR="00F343A6" w:rsidRPr="00353B5E" w:rsidRDefault="00F343A6" w:rsidP="00951974">
    <w:pPr>
      <w:tabs>
        <w:tab w:val="left" w:pos="3969"/>
        <w:tab w:val="left" w:pos="6663"/>
      </w:tabs>
      <w:ind w:left="-567"/>
      <w:rPr>
        <w:rFonts w:ascii="ITC Officina Serif Std Book" w:hAnsi="ITC Officina Serif Std Book"/>
        <w:color w:val="3155A4"/>
        <w:sz w:val="18"/>
        <w:szCs w:val="18"/>
      </w:rPr>
    </w:pPr>
    <w:r w:rsidRPr="00353B5E">
      <w:rPr>
        <w:rFonts w:ascii="ITC Officina Serif Std Book" w:hAnsi="ITC Officina Serif Std Book"/>
        <w:color w:val="3155A4"/>
        <w:sz w:val="18"/>
        <w:szCs w:val="18"/>
      </w:rPr>
      <w:t xml:space="preserve">Slovenská komora </w:t>
    </w:r>
    <w:r w:rsidR="00A9586D">
      <w:rPr>
        <w:rFonts w:ascii="ITC Officina Serif Std Book" w:hAnsi="ITC Officina Serif Std Book"/>
        <w:color w:val="3155A4"/>
        <w:sz w:val="18"/>
        <w:szCs w:val="18"/>
      </w:rPr>
      <w:t xml:space="preserve">daňových </w:t>
    </w:r>
    <w:r w:rsidR="001548BF" w:rsidRPr="00353B5E">
      <w:rPr>
        <w:rFonts w:ascii="ITC Officina Serif Std Book" w:hAnsi="ITC Officina Serif Std Book"/>
        <w:color w:val="3155A4"/>
        <w:sz w:val="18"/>
        <w:szCs w:val="18"/>
      </w:rPr>
      <w:t>po</w:t>
    </w:r>
    <w:r w:rsidR="00A9586D">
      <w:rPr>
        <w:rFonts w:ascii="ITC Officina Serif Std Book" w:hAnsi="ITC Officina Serif Std Book"/>
        <w:color w:val="3155A4"/>
        <w:sz w:val="18"/>
        <w:szCs w:val="18"/>
      </w:rPr>
      <w:t>radcov</w:t>
    </w:r>
    <w:r w:rsidR="00821C36">
      <w:rPr>
        <w:rFonts w:ascii="ITC Officina Serif Std Book" w:hAnsi="ITC Officina Serif Std Book"/>
        <w:color w:val="3155A4"/>
        <w:sz w:val="18"/>
        <w:szCs w:val="18"/>
      </w:rPr>
      <w:tab/>
    </w:r>
    <w:r w:rsidR="001548BF">
      <w:rPr>
        <w:rFonts w:ascii="ITC Officina Serif Std Book" w:hAnsi="ITC Officina Serif Std Book"/>
        <w:color w:val="3155A4"/>
        <w:sz w:val="18"/>
        <w:szCs w:val="18"/>
      </w:rPr>
      <w:tab/>
    </w:r>
    <w:r w:rsidR="001548BF">
      <w:rPr>
        <w:rFonts w:ascii="ITC Officina Serif Std Book" w:hAnsi="ITC Officina Serif Std Book"/>
        <w:color w:val="3155A4"/>
        <w:sz w:val="18"/>
        <w:szCs w:val="18"/>
      </w:rPr>
      <w:tab/>
    </w:r>
    <w:r w:rsidR="00821C36">
      <w:rPr>
        <w:rFonts w:ascii="ITC Officina Serif Std Book" w:hAnsi="ITC Officina Serif Std Book"/>
        <w:color w:val="3155A4"/>
        <w:sz w:val="18"/>
        <w:szCs w:val="18"/>
      </w:rPr>
      <w:t>S</w:t>
    </w:r>
    <w:r w:rsidR="008660C3" w:rsidRPr="008660C3">
      <w:rPr>
        <w:rFonts w:ascii="ITC Officina Serif Std Book" w:hAnsi="ITC Officina Serif Std Book"/>
        <w:color w:val="3155A4"/>
        <w:sz w:val="18"/>
        <w:szCs w:val="18"/>
      </w:rPr>
      <w:t>K25 0900 0000 0004 2345 9067</w:t>
    </w:r>
  </w:p>
  <w:p w14:paraId="28157CC2" w14:textId="77777777" w:rsidR="00F343A6" w:rsidRPr="00353B5E" w:rsidRDefault="00F84EF2" w:rsidP="00951974">
    <w:pPr>
      <w:tabs>
        <w:tab w:val="left" w:pos="3969"/>
        <w:tab w:val="left" w:pos="6663"/>
      </w:tabs>
      <w:ind w:left="-567"/>
      <w:rPr>
        <w:rFonts w:ascii="ITC Officina Serif Std Book" w:hAnsi="ITC Officina Serif Std Book"/>
        <w:color w:val="3155A4"/>
        <w:sz w:val="18"/>
        <w:szCs w:val="18"/>
      </w:rPr>
    </w:pPr>
    <w:r>
      <w:rPr>
        <w:rFonts w:ascii="ITC Officina Serif Std Book" w:hAnsi="ITC Officina Serif Std Book"/>
        <w:color w:val="3155A4"/>
        <w:sz w:val="18"/>
        <w:szCs w:val="18"/>
      </w:rPr>
      <w:t xml:space="preserve">Trnavská cesta 74/A                                                 </w:t>
    </w:r>
    <w:r w:rsidR="00821C36">
      <w:rPr>
        <w:rFonts w:ascii="ITC Officina Serif Std Book" w:hAnsi="ITC Officina Serif Std Book"/>
        <w:color w:val="3155A4"/>
        <w:sz w:val="18"/>
        <w:szCs w:val="18"/>
      </w:rPr>
      <w:tab/>
    </w:r>
    <w:r w:rsidR="00F343A6" w:rsidRPr="00353B5E">
      <w:rPr>
        <w:rFonts w:ascii="ITC Officina Serif Std Book" w:hAnsi="ITC Officina Serif Std Book"/>
        <w:color w:val="3155A4"/>
        <w:sz w:val="18"/>
        <w:szCs w:val="18"/>
      </w:rPr>
      <w:t>tel.: +421</w:t>
    </w:r>
    <w:r>
      <w:rPr>
        <w:rFonts w:ascii="ITC Officina Serif Std Book" w:hAnsi="ITC Officina Serif Std Book"/>
        <w:color w:val="3155A4"/>
        <w:sz w:val="18"/>
        <w:szCs w:val="18"/>
      </w:rPr>
      <w:t> 907 827 293</w:t>
    </w:r>
    <w:r w:rsidR="00353B5E" w:rsidRPr="00353B5E">
      <w:rPr>
        <w:rFonts w:ascii="ITC Officina Serif Std Book" w:hAnsi="ITC Officina Serif Std Book"/>
        <w:color w:val="3155A4"/>
        <w:sz w:val="18"/>
        <w:szCs w:val="18"/>
      </w:rPr>
      <w:tab/>
    </w:r>
    <w:r w:rsidR="00F343A6" w:rsidRPr="00353B5E">
      <w:rPr>
        <w:rFonts w:ascii="ITC Officina Serif Std Book" w:hAnsi="ITC Officina Serif Std Book"/>
        <w:color w:val="3155A4"/>
        <w:sz w:val="18"/>
        <w:szCs w:val="18"/>
      </w:rPr>
      <w:t xml:space="preserve">        </w:t>
    </w:r>
    <w:r>
      <w:rPr>
        <w:rFonts w:ascii="ITC Officina Serif Std Book" w:hAnsi="ITC Officina Serif Std Book"/>
        <w:color w:val="3155A4"/>
        <w:sz w:val="18"/>
        <w:szCs w:val="18"/>
      </w:rPr>
      <w:tab/>
    </w:r>
    <w:r w:rsidR="00F343A6" w:rsidRPr="00353B5E">
      <w:rPr>
        <w:rFonts w:ascii="ITC Officina Serif Std Book" w:hAnsi="ITC Officina Serif Std Book"/>
        <w:color w:val="3155A4"/>
        <w:sz w:val="18"/>
        <w:szCs w:val="18"/>
      </w:rPr>
      <w:t>I</w:t>
    </w:r>
    <w:r w:rsidR="00655643">
      <w:rPr>
        <w:rFonts w:ascii="ITC Officina Serif Std Book" w:hAnsi="ITC Officina Serif Std Book"/>
        <w:color w:val="3155A4"/>
        <w:sz w:val="18"/>
        <w:szCs w:val="18"/>
      </w:rPr>
      <w:t>C</w:t>
    </w:r>
    <w:r w:rsidR="00F343A6" w:rsidRPr="00353B5E">
      <w:rPr>
        <w:rFonts w:ascii="ITC Officina Serif Std Book" w:hAnsi="ITC Officina Serif Std Book"/>
        <w:color w:val="3155A4"/>
        <w:sz w:val="18"/>
        <w:szCs w:val="18"/>
      </w:rPr>
      <w:t>O: 17 060 273</w:t>
    </w:r>
  </w:p>
  <w:p w14:paraId="5B5FE608" w14:textId="77777777" w:rsidR="00F343A6" w:rsidRDefault="00F84EF2" w:rsidP="00821C36">
    <w:pPr>
      <w:tabs>
        <w:tab w:val="left" w:pos="3969"/>
        <w:tab w:val="left" w:pos="6663"/>
      </w:tabs>
      <w:ind w:left="-567"/>
    </w:pPr>
    <w:r>
      <w:rPr>
        <w:rFonts w:ascii="ITC Officina Serif Std Book" w:hAnsi="ITC Officina Serif Std Book"/>
        <w:color w:val="3155A4"/>
        <w:sz w:val="18"/>
        <w:szCs w:val="18"/>
      </w:rPr>
      <w:t>821 02 Bratislava</w:t>
    </w:r>
    <w:r w:rsidR="00F343A6" w:rsidRPr="00353B5E">
      <w:rPr>
        <w:rFonts w:ascii="ITC Officina Serif Std Book" w:hAnsi="ITC Officina Serif Std Book"/>
        <w:color w:val="3155A4"/>
        <w:sz w:val="18"/>
        <w:szCs w:val="18"/>
      </w:rPr>
      <w:tab/>
    </w:r>
    <w:r w:rsidR="00F343A6" w:rsidRPr="00F27B3A">
      <w:rPr>
        <w:rFonts w:ascii="ITC Officina Serif Std Book" w:hAnsi="ITC Officina Serif Std Book"/>
        <w:color w:val="3155A4"/>
        <w:sz w:val="18"/>
        <w:szCs w:val="18"/>
      </w:rPr>
      <w:t>www.skdp.sk</w:t>
    </w:r>
    <w:r w:rsidR="00F343A6" w:rsidRPr="00353B5E">
      <w:rPr>
        <w:rFonts w:ascii="ITC Officina Serif Std Book" w:hAnsi="ITC Officina Serif Std Book"/>
        <w:color w:val="3155A4"/>
        <w:sz w:val="18"/>
        <w:szCs w:val="18"/>
      </w:rPr>
      <w:tab/>
      <w:t xml:space="preserve">          DI</w:t>
    </w:r>
    <w:r w:rsidR="00655643">
      <w:rPr>
        <w:rFonts w:ascii="ITC Officina Serif Std Book" w:hAnsi="ITC Officina Serif Std Book"/>
        <w:color w:val="3155A4"/>
        <w:sz w:val="18"/>
        <w:szCs w:val="18"/>
      </w:rPr>
      <w:t>C</w:t>
    </w:r>
    <w:r w:rsidR="00F343A6" w:rsidRPr="00353B5E">
      <w:rPr>
        <w:rFonts w:ascii="ITC Officina Serif Std Book" w:hAnsi="ITC Officina Serif Std Book"/>
        <w:color w:val="3155A4"/>
        <w:sz w:val="18"/>
        <w:szCs w:val="18"/>
      </w:rPr>
      <w:t>: 2021085968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66A09" w14:textId="77777777" w:rsidR="00B82D45" w:rsidRDefault="00B82D45">
      <w:r>
        <w:separator/>
      </w:r>
    </w:p>
  </w:footnote>
  <w:footnote w:type="continuationSeparator" w:id="0">
    <w:p w14:paraId="500E69DF" w14:textId="77777777" w:rsidR="00B82D45" w:rsidRDefault="00B82D45">
      <w:r>
        <w:continuationSeparator/>
      </w:r>
    </w:p>
  </w:footnote>
  <w:footnote w:id="1">
    <w:p w14:paraId="2CF0822F" w14:textId="77777777" w:rsidR="00DE022F" w:rsidRPr="00632A81" w:rsidRDefault="00DE022F" w:rsidP="00632A81">
      <w:pPr>
        <w:pStyle w:val="Textpoznmkypodiarou"/>
        <w:jc w:val="both"/>
        <w:rPr>
          <w:rFonts w:asciiTheme="majorHAnsi" w:hAnsiTheme="majorHAnsi" w:cstheme="majorHAnsi"/>
          <w:b/>
          <w:bCs/>
          <w:sz w:val="16"/>
          <w:szCs w:val="16"/>
        </w:rPr>
      </w:pPr>
      <w:r w:rsidRPr="00632A81">
        <w:rPr>
          <w:rStyle w:val="Odkaznapoznmkupodiarou"/>
          <w:rFonts w:asciiTheme="majorHAnsi" w:hAnsiTheme="majorHAnsi" w:cstheme="majorHAnsi"/>
          <w:sz w:val="16"/>
          <w:szCs w:val="16"/>
        </w:rPr>
        <w:footnoteRef/>
      </w:r>
      <w:r w:rsidRPr="00632A81">
        <w:rPr>
          <w:rFonts w:asciiTheme="majorHAnsi" w:hAnsiTheme="majorHAnsi" w:cstheme="majorHAnsi"/>
          <w:sz w:val="16"/>
          <w:szCs w:val="16"/>
        </w:rPr>
        <w:t xml:space="preserve"> Zásady verejného dohľadu</w:t>
      </w:r>
    </w:p>
    <w:p w14:paraId="21BF140D"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1.   Členské štáty zabezpečia vytvorenie účinného systému verejného dohľadu nad štatutárnymi audítormi a audítorskými spoločnosťami založeného na zásadách uvedených v odsekoch 2 až 7.</w:t>
      </w:r>
    </w:p>
    <w:p w14:paraId="3A70FB6F"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2.   Verejnému dohľadu podliehajú všetci štatutárni audítori a audítorské spoločnosti.</w:t>
      </w:r>
    </w:p>
    <w:p w14:paraId="1B6A9A75"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3.   Systém verejného dohľadu je vedený nepraktizujúcimi osobami, ktoré majú vedomosti o problematike súvisiacej so štatutárnym auditom. Členské štáty však môžu umožniť menšine praktizujúcich audítorov, aby sa zapojili do riadenia systému verejného dohľadu. Osoby, ktoré sa zúčastňujú na riadení systému verejného dohľadu, sa vyberú na základe nezávislého a transparentného postupu menovania.</w:t>
      </w:r>
    </w:p>
    <w:p w14:paraId="63B438C4"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4.   Systém verejného dohľadu nesie konečnú zodpovednosť za dohľad nad:</w:t>
      </w:r>
    </w:p>
    <w:tbl>
      <w:tblPr>
        <w:tblW w:w="5000" w:type="pct"/>
        <w:shd w:val="clear" w:color="auto" w:fill="FFFFFF"/>
        <w:tblCellMar>
          <w:left w:w="0" w:type="dxa"/>
          <w:right w:w="0" w:type="dxa"/>
        </w:tblCellMar>
        <w:tblLook w:val="04A0" w:firstRow="1" w:lastRow="0" w:firstColumn="1" w:lastColumn="0" w:noHBand="0" w:noVBand="1"/>
      </w:tblPr>
      <w:tblGrid>
        <w:gridCol w:w="230"/>
        <w:gridCol w:w="9549"/>
      </w:tblGrid>
      <w:tr w:rsidR="00DE022F" w:rsidRPr="00A4488C" w14:paraId="116C56B4" w14:textId="77777777" w:rsidTr="00A4488C">
        <w:tc>
          <w:tcPr>
            <w:tcW w:w="0" w:type="auto"/>
            <w:shd w:val="clear" w:color="auto" w:fill="FFFFFF"/>
            <w:hideMark/>
          </w:tcPr>
          <w:p w14:paraId="13F2B53C"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a)</w:t>
            </w:r>
          </w:p>
        </w:tc>
        <w:tc>
          <w:tcPr>
            <w:tcW w:w="0" w:type="auto"/>
            <w:shd w:val="clear" w:color="auto" w:fill="FFFFFF"/>
            <w:hideMark/>
          </w:tcPr>
          <w:p w14:paraId="611F8634"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schvaľovaním a registrovaním štatutárnych audítorov a audítorských spoločností;</w:t>
            </w:r>
          </w:p>
        </w:tc>
      </w:tr>
    </w:tbl>
    <w:p w14:paraId="0446FAC1" w14:textId="77777777" w:rsidR="00DE022F" w:rsidRPr="00A4488C" w:rsidRDefault="00DE022F"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83"/>
        <w:gridCol w:w="9596"/>
      </w:tblGrid>
      <w:tr w:rsidR="00DE022F" w:rsidRPr="00A4488C" w14:paraId="0B39ACED" w14:textId="77777777" w:rsidTr="00A4488C">
        <w:tc>
          <w:tcPr>
            <w:tcW w:w="0" w:type="auto"/>
            <w:shd w:val="clear" w:color="auto" w:fill="FFFFFF"/>
            <w:hideMark/>
          </w:tcPr>
          <w:p w14:paraId="320E7CE8"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b)</w:t>
            </w:r>
          </w:p>
        </w:tc>
        <w:tc>
          <w:tcPr>
            <w:tcW w:w="0" w:type="auto"/>
            <w:shd w:val="clear" w:color="auto" w:fill="FFFFFF"/>
            <w:hideMark/>
          </w:tcPr>
          <w:p w14:paraId="70DA8BFF"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prijímaním noriem profesijnej etiky, štandardov internej kontroly kvality audítorských spoločností a auditu a</w:t>
            </w:r>
          </w:p>
        </w:tc>
      </w:tr>
    </w:tbl>
    <w:p w14:paraId="3EABBA2B" w14:textId="77777777" w:rsidR="00DE022F" w:rsidRPr="00A4488C" w:rsidRDefault="00DE022F"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71"/>
        <w:gridCol w:w="9608"/>
      </w:tblGrid>
      <w:tr w:rsidR="00DE022F" w:rsidRPr="00A4488C" w14:paraId="3C372751" w14:textId="77777777" w:rsidTr="00A4488C">
        <w:tc>
          <w:tcPr>
            <w:tcW w:w="0" w:type="auto"/>
            <w:shd w:val="clear" w:color="auto" w:fill="FFFFFF"/>
            <w:hideMark/>
          </w:tcPr>
          <w:p w14:paraId="5D11D4B1"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c)</w:t>
            </w:r>
          </w:p>
        </w:tc>
        <w:tc>
          <w:tcPr>
            <w:tcW w:w="0" w:type="auto"/>
            <w:shd w:val="clear" w:color="auto" w:fill="FFFFFF"/>
            <w:hideMark/>
          </w:tcPr>
          <w:p w14:paraId="101978AC"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priebežným vzdelávaním, zabezpečením kvality a systémom prešetrovania a disciplinárnym systémom.</w:t>
            </w:r>
          </w:p>
        </w:tc>
      </w:tr>
    </w:tbl>
    <w:p w14:paraId="2AEC172F"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5.   Systém verejného dohľadu má v prípade potreby právo prešetrovať štatutárnych audítorov a audítorské spoločnosti a má právo prijať primerané opatrenia.</w:t>
      </w:r>
    </w:p>
    <w:p w14:paraId="3E4227DD" w14:textId="77777777" w:rsidR="00DE022F" w:rsidRPr="00A4488C"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6.   Systém verejného dohľadu je transparentný. To sa týka zverejňovania ročných pracovných programov a správ o činnosti.</w:t>
      </w:r>
    </w:p>
    <w:p w14:paraId="1C53B6B3" w14:textId="3B724E7C" w:rsidR="00DE022F" w:rsidRPr="00632A81" w:rsidRDefault="00DE022F" w:rsidP="00632A81">
      <w:pPr>
        <w:pStyle w:val="Textpoznmkypodiarou"/>
        <w:jc w:val="both"/>
        <w:rPr>
          <w:rFonts w:asciiTheme="majorHAnsi" w:hAnsiTheme="majorHAnsi" w:cstheme="majorHAnsi"/>
          <w:sz w:val="16"/>
          <w:szCs w:val="16"/>
        </w:rPr>
      </w:pPr>
      <w:r w:rsidRPr="00A4488C">
        <w:rPr>
          <w:rFonts w:asciiTheme="majorHAnsi" w:hAnsiTheme="majorHAnsi" w:cstheme="majorHAnsi"/>
          <w:sz w:val="16"/>
          <w:szCs w:val="16"/>
        </w:rPr>
        <w:t>7.   Systém verejného dohľadu má k dispozícii primerané zdroje. Systém verejného dohľadu je bezpečný a nezávislý od akéhokoľvek neprimeraného vplyvu štatutárnych audítorov a audítorských spoločností.</w:t>
      </w:r>
    </w:p>
  </w:footnote>
  <w:footnote w:id="2">
    <w:p w14:paraId="743D5371" w14:textId="5DE9CE52" w:rsidR="00EA19E9" w:rsidRPr="00632A81" w:rsidRDefault="00EA19E9" w:rsidP="00632A81">
      <w:pPr>
        <w:pStyle w:val="Textpoznmkypodiarou"/>
        <w:jc w:val="both"/>
        <w:rPr>
          <w:rFonts w:asciiTheme="majorHAnsi" w:hAnsiTheme="majorHAnsi" w:cstheme="majorHAnsi"/>
          <w:sz w:val="16"/>
          <w:szCs w:val="16"/>
        </w:rPr>
      </w:pPr>
      <w:r w:rsidRPr="00632A81">
        <w:rPr>
          <w:rStyle w:val="Odkaznapoznmkupodiarou"/>
          <w:rFonts w:asciiTheme="majorHAnsi" w:hAnsiTheme="majorHAnsi" w:cstheme="majorHAnsi"/>
          <w:sz w:val="16"/>
          <w:szCs w:val="16"/>
        </w:rPr>
        <w:footnoteRef/>
      </w:r>
      <w:r w:rsidRPr="00632A81">
        <w:rPr>
          <w:rFonts w:asciiTheme="majorHAnsi" w:hAnsiTheme="majorHAnsi" w:cstheme="majorHAnsi"/>
          <w:sz w:val="16"/>
          <w:szCs w:val="16"/>
        </w:rPr>
        <w:t xml:space="preserve"> </w:t>
      </w:r>
      <w:r w:rsidRPr="00632A81">
        <w:rPr>
          <w:rFonts w:asciiTheme="majorHAnsi" w:hAnsiTheme="majorHAnsi" w:cstheme="majorHAnsi"/>
          <w:sz w:val="16"/>
          <w:szCs w:val="16"/>
        </w:rPr>
        <w:t>Každý členský štát zabezpečí, aby všetci štatutárni audítori a audítorské spoločnosti podliehali systému zabezpečenia kvality, ktorý spĺňa aspoň tieto kritériá:</w:t>
      </w:r>
    </w:p>
    <w:tbl>
      <w:tblPr>
        <w:tblW w:w="5000" w:type="pct"/>
        <w:shd w:val="clear" w:color="auto" w:fill="FFFFFF"/>
        <w:tblCellMar>
          <w:left w:w="0" w:type="dxa"/>
          <w:right w:w="0" w:type="dxa"/>
        </w:tblCellMar>
        <w:tblLook w:val="04A0" w:firstRow="1" w:lastRow="0" w:firstColumn="1" w:lastColumn="0" w:noHBand="0" w:noVBand="1"/>
      </w:tblPr>
      <w:tblGrid>
        <w:gridCol w:w="124"/>
        <w:gridCol w:w="9655"/>
      </w:tblGrid>
      <w:tr w:rsidR="00EA19E9" w:rsidRPr="00EA19E9" w14:paraId="416769E8" w14:textId="77777777" w:rsidTr="00EA19E9">
        <w:tc>
          <w:tcPr>
            <w:tcW w:w="0" w:type="auto"/>
            <w:shd w:val="clear" w:color="auto" w:fill="FFFFFF"/>
            <w:hideMark/>
          </w:tcPr>
          <w:p w14:paraId="6FB700F9"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a)</w:t>
            </w:r>
          </w:p>
        </w:tc>
        <w:tc>
          <w:tcPr>
            <w:tcW w:w="0" w:type="auto"/>
            <w:shd w:val="clear" w:color="auto" w:fill="FFFFFF"/>
            <w:hideMark/>
          </w:tcPr>
          <w:p w14:paraId="5AAD3216"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systém zabezpečenia kvality je organizovaný spôsobom, ktorý nie je závislý od preverovaných štatutárnych audítorov a audítorských spoločností a ktorý podlieha verejnému dohľadu, ako je ustanovené v kapitole VIII;</w:t>
            </w:r>
          </w:p>
        </w:tc>
      </w:tr>
    </w:tbl>
    <w:p w14:paraId="3756C30C"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EA19E9" w:rsidRPr="00EA19E9" w14:paraId="768FF300" w14:textId="77777777" w:rsidTr="00EA19E9">
        <w:tc>
          <w:tcPr>
            <w:tcW w:w="0" w:type="auto"/>
            <w:shd w:val="clear" w:color="auto" w:fill="FFFFFF"/>
            <w:hideMark/>
          </w:tcPr>
          <w:p w14:paraId="16856E11"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b)</w:t>
            </w:r>
          </w:p>
        </w:tc>
        <w:tc>
          <w:tcPr>
            <w:tcW w:w="0" w:type="auto"/>
            <w:shd w:val="clear" w:color="auto" w:fill="FFFFFF"/>
            <w:hideMark/>
          </w:tcPr>
          <w:p w14:paraId="17DC3953"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financovanie systému zabezpečenia kvality je bezpečné a bez akéhokoľvek neprimeraného vplyvu zo strany štatutárnych audítorov alebo audítorských spoločností;</w:t>
            </w:r>
          </w:p>
        </w:tc>
      </w:tr>
    </w:tbl>
    <w:p w14:paraId="0B6A3CA4"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342"/>
        <w:gridCol w:w="9437"/>
      </w:tblGrid>
      <w:tr w:rsidR="00EA19E9" w:rsidRPr="00EA19E9" w14:paraId="4241E6CF" w14:textId="77777777" w:rsidTr="00EA19E9">
        <w:tc>
          <w:tcPr>
            <w:tcW w:w="0" w:type="auto"/>
            <w:shd w:val="clear" w:color="auto" w:fill="FFFFFF"/>
            <w:hideMark/>
          </w:tcPr>
          <w:p w14:paraId="05A519F3"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c)</w:t>
            </w:r>
          </w:p>
        </w:tc>
        <w:tc>
          <w:tcPr>
            <w:tcW w:w="0" w:type="auto"/>
            <w:shd w:val="clear" w:color="auto" w:fill="FFFFFF"/>
            <w:hideMark/>
          </w:tcPr>
          <w:p w14:paraId="29E145DD"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systém zabezpečenia kvality má primerané zdroje;</w:t>
            </w:r>
          </w:p>
        </w:tc>
      </w:tr>
    </w:tbl>
    <w:p w14:paraId="75405D86"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EA19E9" w:rsidRPr="00EA19E9" w14:paraId="222B32B2" w14:textId="77777777" w:rsidTr="00EA19E9">
        <w:tc>
          <w:tcPr>
            <w:tcW w:w="0" w:type="auto"/>
            <w:shd w:val="clear" w:color="auto" w:fill="FFFFFF"/>
            <w:hideMark/>
          </w:tcPr>
          <w:p w14:paraId="4150E513"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d)</w:t>
            </w:r>
          </w:p>
        </w:tc>
        <w:tc>
          <w:tcPr>
            <w:tcW w:w="0" w:type="auto"/>
            <w:shd w:val="clear" w:color="auto" w:fill="FFFFFF"/>
            <w:hideMark/>
          </w:tcPr>
          <w:p w14:paraId="5770EC6F"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osoby, ktoré vykonávajú previerky zabezpečenia kvality, majú primerané odborné vzdelanie a relevantné skúsenosti v oblasti štatutárneho auditu a finančného výkazníctva spolu s osobitným školením v oblasti previerky zabezpečenia kvality;</w:t>
            </w:r>
          </w:p>
        </w:tc>
      </w:tr>
    </w:tbl>
    <w:p w14:paraId="6E449E5E"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7"/>
        <w:gridCol w:w="9652"/>
      </w:tblGrid>
      <w:tr w:rsidR="00EA19E9" w:rsidRPr="00EA19E9" w14:paraId="0F98A50E" w14:textId="77777777" w:rsidTr="00EA19E9">
        <w:tc>
          <w:tcPr>
            <w:tcW w:w="0" w:type="auto"/>
            <w:shd w:val="clear" w:color="auto" w:fill="FFFFFF"/>
            <w:hideMark/>
          </w:tcPr>
          <w:p w14:paraId="597C75D5"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e)</w:t>
            </w:r>
          </w:p>
        </w:tc>
        <w:tc>
          <w:tcPr>
            <w:tcW w:w="0" w:type="auto"/>
            <w:shd w:val="clear" w:color="auto" w:fill="FFFFFF"/>
            <w:hideMark/>
          </w:tcPr>
          <w:p w14:paraId="16C1459F"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výber osôb na konkrétne úlohy previerky zabezpečenia kvality sa uskutočňuje v rámci objektívneho postupu navrhnutého tak, aby sa predišlo konfliktu záujmov medzi osobami uskutočňujúcimi previerku a preverovaným štatutárnym audítorom alebo audítorskou spoločnosťou;</w:t>
            </w:r>
          </w:p>
        </w:tc>
      </w:tr>
    </w:tbl>
    <w:p w14:paraId="6E00B7B7"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98"/>
        <w:gridCol w:w="9681"/>
      </w:tblGrid>
      <w:tr w:rsidR="00EA19E9" w:rsidRPr="00EA19E9" w14:paraId="0CB8FF9A" w14:textId="77777777" w:rsidTr="00EA19E9">
        <w:tc>
          <w:tcPr>
            <w:tcW w:w="0" w:type="auto"/>
            <w:shd w:val="clear" w:color="auto" w:fill="FFFFFF"/>
            <w:hideMark/>
          </w:tcPr>
          <w:p w14:paraId="2C94D913"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f)</w:t>
            </w:r>
          </w:p>
        </w:tc>
        <w:tc>
          <w:tcPr>
            <w:tcW w:w="0" w:type="auto"/>
            <w:shd w:val="clear" w:color="auto" w:fill="FFFFFF"/>
            <w:hideMark/>
          </w:tcPr>
          <w:p w14:paraId="65586F76"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súčasťou previerky zabezpečenia kvality podporenej primeranou kontrolou vybraných zložiek audítorskej pracovnej dokumentácie je posúdenie súladu s uplatniteľnými audítorskými štandardmi a požiadavkami na nezávislosť, ako aj posúdenie kvantity a kvality vynaložených zdrojov, poplatkov účtovaných za audit a vnútorného systému kontroly kvality audítorskej spoločnosti;</w:t>
            </w:r>
          </w:p>
        </w:tc>
      </w:tr>
    </w:tbl>
    <w:p w14:paraId="3032627B"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70"/>
        <w:gridCol w:w="9609"/>
      </w:tblGrid>
      <w:tr w:rsidR="00EA19E9" w:rsidRPr="00EA19E9" w14:paraId="13B87A38" w14:textId="77777777" w:rsidTr="00EA19E9">
        <w:tc>
          <w:tcPr>
            <w:tcW w:w="0" w:type="auto"/>
            <w:shd w:val="clear" w:color="auto" w:fill="FFFFFF"/>
            <w:hideMark/>
          </w:tcPr>
          <w:p w14:paraId="17F8D09E"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g)</w:t>
            </w:r>
          </w:p>
        </w:tc>
        <w:tc>
          <w:tcPr>
            <w:tcW w:w="0" w:type="auto"/>
            <w:shd w:val="clear" w:color="auto" w:fill="FFFFFF"/>
            <w:hideMark/>
          </w:tcPr>
          <w:p w14:paraId="3F67FF43"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previerka zabezpečenia kvality podlieha správe, ktorá obsahuje hlavné závery previerky zabezpečenia kvality;</w:t>
            </w:r>
          </w:p>
        </w:tc>
      </w:tr>
    </w:tbl>
    <w:p w14:paraId="273577C2"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290"/>
        <w:gridCol w:w="9489"/>
      </w:tblGrid>
      <w:tr w:rsidR="00EA19E9" w:rsidRPr="00EA19E9" w14:paraId="4A6CA26A" w14:textId="77777777" w:rsidTr="00EA19E9">
        <w:tc>
          <w:tcPr>
            <w:tcW w:w="0" w:type="auto"/>
            <w:shd w:val="clear" w:color="auto" w:fill="FFFFFF"/>
            <w:hideMark/>
          </w:tcPr>
          <w:p w14:paraId="494016E8"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h)</w:t>
            </w:r>
          </w:p>
        </w:tc>
        <w:tc>
          <w:tcPr>
            <w:tcW w:w="0" w:type="auto"/>
            <w:shd w:val="clear" w:color="auto" w:fill="FFFFFF"/>
            <w:hideMark/>
          </w:tcPr>
          <w:p w14:paraId="3ABB9C6C"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previerka zabezpečenia kvality sa vykonáva aspoň raz za šesť rokov;</w:t>
            </w:r>
          </w:p>
        </w:tc>
      </w:tr>
    </w:tbl>
    <w:p w14:paraId="449FABC7"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74"/>
        <w:gridCol w:w="9605"/>
      </w:tblGrid>
      <w:tr w:rsidR="00EA19E9" w:rsidRPr="00EA19E9" w14:paraId="215D4D55" w14:textId="77777777" w:rsidTr="00EA19E9">
        <w:tc>
          <w:tcPr>
            <w:tcW w:w="0" w:type="auto"/>
            <w:shd w:val="clear" w:color="auto" w:fill="FFFFFF"/>
            <w:hideMark/>
          </w:tcPr>
          <w:p w14:paraId="3C8DC104"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i)</w:t>
            </w:r>
          </w:p>
        </w:tc>
        <w:tc>
          <w:tcPr>
            <w:tcW w:w="0" w:type="auto"/>
            <w:shd w:val="clear" w:color="auto" w:fill="FFFFFF"/>
            <w:hideMark/>
          </w:tcPr>
          <w:p w14:paraId="25329A7C"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celkové výsledky systému zabezpečenia kvality sa každoročne zverejňujú;</w:t>
            </w:r>
          </w:p>
        </w:tc>
      </w:tr>
    </w:tbl>
    <w:p w14:paraId="136C77E5" w14:textId="77777777" w:rsidR="00EA19E9" w:rsidRPr="00EA19E9" w:rsidRDefault="00EA19E9"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99"/>
        <w:gridCol w:w="9680"/>
      </w:tblGrid>
      <w:tr w:rsidR="00EA19E9" w:rsidRPr="00EA19E9" w14:paraId="037029B8" w14:textId="77777777" w:rsidTr="00EA19E9">
        <w:tc>
          <w:tcPr>
            <w:tcW w:w="0" w:type="auto"/>
            <w:shd w:val="clear" w:color="auto" w:fill="FFFFFF"/>
            <w:hideMark/>
          </w:tcPr>
          <w:p w14:paraId="434040A4"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j)</w:t>
            </w:r>
          </w:p>
        </w:tc>
        <w:tc>
          <w:tcPr>
            <w:tcW w:w="0" w:type="auto"/>
            <w:shd w:val="clear" w:color="auto" w:fill="FFFFFF"/>
            <w:hideMark/>
          </w:tcPr>
          <w:p w14:paraId="12FCB31D" w14:textId="77777777" w:rsidR="00EA19E9" w:rsidRPr="00EA19E9"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štatutárny audítor alebo audítorská spoločnosť vykonajú opatrenia v súlade s odporúčaniami previerky kvality v primeranej lehote.</w:t>
            </w:r>
          </w:p>
        </w:tc>
      </w:tr>
    </w:tbl>
    <w:p w14:paraId="39846C84" w14:textId="46A390FD" w:rsidR="00EA19E9" w:rsidRPr="00632A81" w:rsidRDefault="00EA19E9" w:rsidP="00632A81">
      <w:pPr>
        <w:pStyle w:val="Textpoznmkypodiarou"/>
        <w:jc w:val="both"/>
        <w:rPr>
          <w:rFonts w:asciiTheme="majorHAnsi" w:hAnsiTheme="majorHAnsi" w:cstheme="majorHAnsi"/>
          <w:sz w:val="16"/>
          <w:szCs w:val="16"/>
        </w:rPr>
      </w:pPr>
      <w:r w:rsidRPr="00EA19E9">
        <w:rPr>
          <w:rFonts w:asciiTheme="majorHAnsi" w:hAnsiTheme="majorHAnsi" w:cstheme="majorHAnsi"/>
          <w:sz w:val="16"/>
          <w:szCs w:val="16"/>
        </w:rPr>
        <w:t>Ak sa nepostupuje podľa odporúčaní uvedených v písmene j), voči štatutárnemu audítorovi alebo audítorskej spoločnosti sa, ak je to vhodné, začne disciplinárne konanie alebo sa uplatnia sankcie podľa článku 30.</w:t>
      </w:r>
    </w:p>
  </w:footnote>
  <w:footnote w:id="3">
    <w:p w14:paraId="0D5881E4" w14:textId="77777777" w:rsidR="00FA1DD8" w:rsidRPr="00632A81" w:rsidRDefault="00FA1DD8" w:rsidP="00632A81">
      <w:pPr>
        <w:pStyle w:val="Textpoznmkypodiarou"/>
        <w:jc w:val="both"/>
        <w:rPr>
          <w:rFonts w:asciiTheme="majorHAnsi" w:hAnsiTheme="majorHAnsi" w:cstheme="majorHAnsi"/>
          <w:b/>
          <w:bCs/>
          <w:sz w:val="16"/>
          <w:szCs w:val="16"/>
        </w:rPr>
      </w:pPr>
      <w:r w:rsidRPr="00632A81">
        <w:rPr>
          <w:rStyle w:val="Odkaznapoznmkupodiarou"/>
          <w:rFonts w:asciiTheme="majorHAnsi" w:hAnsiTheme="majorHAnsi" w:cstheme="majorHAnsi"/>
          <w:sz w:val="16"/>
          <w:szCs w:val="16"/>
        </w:rPr>
        <w:footnoteRef/>
      </w:r>
      <w:r w:rsidRPr="00632A81">
        <w:rPr>
          <w:rFonts w:asciiTheme="majorHAnsi" w:hAnsiTheme="majorHAnsi" w:cstheme="majorHAnsi"/>
          <w:sz w:val="16"/>
          <w:szCs w:val="16"/>
        </w:rPr>
        <w:t xml:space="preserve"> </w:t>
      </w:r>
      <w:r w:rsidRPr="00632A81">
        <w:rPr>
          <w:rFonts w:asciiTheme="majorHAnsi" w:hAnsiTheme="majorHAnsi" w:cstheme="majorHAnsi"/>
          <w:b/>
          <w:bCs/>
          <w:sz w:val="16"/>
          <w:szCs w:val="16"/>
        </w:rPr>
        <w:t>Odôvodnenie na základe cieľov verejného záujmu</w:t>
      </w:r>
    </w:p>
    <w:p w14:paraId="177BC6EC" w14:textId="77777777" w:rsidR="00FA1DD8" w:rsidRPr="00FA1DD8" w:rsidRDefault="00FA1DD8" w:rsidP="00632A81">
      <w:pPr>
        <w:pStyle w:val="Textpoznmkypodiarou"/>
        <w:jc w:val="both"/>
        <w:rPr>
          <w:rFonts w:asciiTheme="majorHAnsi" w:hAnsiTheme="majorHAnsi" w:cstheme="majorHAnsi"/>
          <w:sz w:val="16"/>
          <w:szCs w:val="16"/>
        </w:rPr>
      </w:pPr>
      <w:r w:rsidRPr="00FA1DD8">
        <w:rPr>
          <w:rFonts w:asciiTheme="majorHAnsi" w:hAnsiTheme="majorHAnsi" w:cstheme="majorHAnsi"/>
          <w:sz w:val="16"/>
          <w:szCs w:val="16"/>
        </w:rPr>
        <w:t>1.   Členské štáty zabezpečia, že legislatívne, regulačné alebo správne ustanovenia obmedzujúce prístup k regulovaným povolaniam alebo ich vykonávanie, ktoré majú v úmysle zaviesť, a že zmeny, ktoré majú v úmysle urobiť v existujúcich ustanoveniach, sú odôvodnené cieľmi verejného záujmu.</w:t>
      </w:r>
    </w:p>
    <w:p w14:paraId="028AFCF7" w14:textId="77777777" w:rsidR="00FA1DD8" w:rsidRPr="00FA1DD8" w:rsidRDefault="00FA1DD8" w:rsidP="00632A81">
      <w:pPr>
        <w:pStyle w:val="Textpoznmkypodiarou"/>
        <w:jc w:val="both"/>
        <w:rPr>
          <w:rFonts w:asciiTheme="majorHAnsi" w:hAnsiTheme="majorHAnsi" w:cstheme="majorHAnsi"/>
          <w:sz w:val="16"/>
          <w:szCs w:val="16"/>
        </w:rPr>
      </w:pPr>
      <w:r w:rsidRPr="00FA1DD8">
        <w:rPr>
          <w:rFonts w:asciiTheme="majorHAnsi" w:hAnsiTheme="majorHAnsi" w:cstheme="majorHAnsi"/>
          <w:sz w:val="16"/>
          <w:szCs w:val="16"/>
        </w:rPr>
        <w:t xml:space="preserve">2.   Členské štáty zvážia najmä to, či sú ustanovenia uvedené v odseku 1 objektívne odôvodnené na základe verejného poriadku, verejnej bezpečnosti alebo verejného zdravia alebo na základe závažných dôvodov verejného záujmu, ako sú zachovanie finančnej rovnováhy systému sociálneho zabezpečenia; ochrana spotrebiteľov, príjemcov služieb a pracovníkov; zabezpečenie riadneho výkonu spravodlivosti; zabezpečenie spravodlivosti obchodných transakcií, boj proti podvodom a predchádzanie daňovým únikom a vyhýbaniu sa daňovým povinnostiam a zabezpečenie účinnosti fiškálneho dohľadu; bezpečnosť dopravy; ochrana životného prostredia a mestského prostredia; zdravie zvierat; duševné vlastníctvo; ochrana a zachovanie národného historického a umeleckého </w:t>
      </w:r>
      <w:proofErr w:type="spellStart"/>
      <w:r w:rsidRPr="00FA1DD8">
        <w:rPr>
          <w:rFonts w:asciiTheme="majorHAnsi" w:hAnsiTheme="majorHAnsi" w:cstheme="majorHAnsi"/>
          <w:sz w:val="16"/>
          <w:szCs w:val="16"/>
        </w:rPr>
        <w:t>dedičstva;,ciele</w:t>
      </w:r>
      <w:proofErr w:type="spellEnd"/>
      <w:r w:rsidRPr="00FA1DD8">
        <w:rPr>
          <w:rFonts w:asciiTheme="majorHAnsi" w:hAnsiTheme="majorHAnsi" w:cstheme="majorHAnsi"/>
          <w:sz w:val="16"/>
          <w:szCs w:val="16"/>
        </w:rPr>
        <w:t xml:space="preserve"> sociálnej politiky a ciele kultúrnej politiky.</w:t>
      </w:r>
    </w:p>
    <w:p w14:paraId="29D86528" w14:textId="008B8A6C" w:rsidR="00FA1DD8" w:rsidRPr="00632A81" w:rsidRDefault="00FA1DD8" w:rsidP="00632A81">
      <w:pPr>
        <w:pStyle w:val="Textpoznmkypodiarou"/>
        <w:jc w:val="both"/>
        <w:rPr>
          <w:rFonts w:asciiTheme="majorHAnsi" w:hAnsiTheme="majorHAnsi" w:cstheme="majorHAnsi"/>
          <w:sz w:val="16"/>
          <w:szCs w:val="16"/>
        </w:rPr>
      </w:pPr>
      <w:r w:rsidRPr="00FA1DD8">
        <w:rPr>
          <w:rFonts w:asciiTheme="majorHAnsi" w:hAnsiTheme="majorHAnsi" w:cstheme="majorHAnsi"/>
          <w:sz w:val="16"/>
          <w:szCs w:val="16"/>
        </w:rPr>
        <w:t>3.   Dôvody čisto ekonomického charakteru alebo čisto administratívne dôvody nepredstavujú závažné dôvody verejného záujmu, ktoré by odôvodňovali obmedzenie prístupu k regulovaným povolaniam alebo ich vykonávania.</w:t>
      </w:r>
    </w:p>
  </w:footnote>
  <w:footnote w:id="4">
    <w:p w14:paraId="268E9457" w14:textId="77777777" w:rsidR="00632A81" w:rsidRPr="00632A81" w:rsidRDefault="00632A81" w:rsidP="00632A81">
      <w:pPr>
        <w:pStyle w:val="Textpoznmkypodiarou"/>
        <w:jc w:val="both"/>
        <w:rPr>
          <w:rFonts w:asciiTheme="majorHAnsi" w:hAnsiTheme="majorHAnsi" w:cstheme="majorHAnsi"/>
          <w:b/>
          <w:bCs/>
          <w:sz w:val="16"/>
          <w:szCs w:val="16"/>
        </w:rPr>
      </w:pPr>
      <w:r w:rsidRPr="00632A81">
        <w:rPr>
          <w:rStyle w:val="Odkaznapoznmkupodiarou"/>
          <w:rFonts w:asciiTheme="majorHAnsi" w:hAnsiTheme="majorHAnsi" w:cstheme="majorHAnsi"/>
          <w:sz w:val="16"/>
          <w:szCs w:val="16"/>
        </w:rPr>
        <w:footnoteRef/>
      </w:r>
      <w:r w:rsidRPr="00632A81">
        <w:rPr>
          <w:rFonts w:asciiTheme="majorHAnsi" w:hAnsiTheme="majorHAnsi" w:cstheme="majorHAnsi"/>
          <w:sz w:val="16"/>
          <w:szCs w:val="16"/>
        </w:rPr>
        <w:t xml:space="preserve"> </w:t>
      </w:r>
      <w:r w:rsidRPr="00632A81">
        <w:rPr>
          <w:rFonts w:asciiTheme="majorHAnsi" w:hAnsiTheme="majorHAnsi" w:cstheme="majorHAnsi"/>
          <w:b/>
          <w:bCs/>
          <w:sz w:val="16"/>
          <w:szCs w:val="16"/>
        </w:rPr>
        <w:t>Proporcionalita</w:t>
      </w:r>
    </w:p>
    <w:p w14:paraId="46DD9B4E"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1.   Členské štáty zabezpečia, aby legislatívne, regulačné alebo správne ustanovenia obmedzujúce prístup k regulovaným povolaniam alebo ich vykonávanie, ktoré zavedú, a že zmeny, ktoré v existujúcich opatreniach vykonajú, boli vhodné na zabezpečenie dosiahnutia sledovaného cieľa a neprekročili rámec toho, čo je nevyhnutné na dosiahnutie uvedeného cieľa.</w:t>
      </w:r>
    </w:p>
    <w:p w14:paraId="3E9BE70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2.   Na tento účel členské štáty pred prijatím ustanovení uvedených v odseku 1 zvážia:</w:t>
      </w:r>
    </w:p>
    <w:tbl>
      <w:tblPr>
        <w:tblW w:w="5000" w:type="pct"/>
        <w:shd w:val="clear" w:color="auto" w:fill="FFFFFF"/>
        <w:tblCellMar>
          <w:left w:w="0" w:type="dxa"/>
          <w:right w:w="0" w:type="dxa"/>
        </w:tblCellMar>
        <w:tblLook w:val="04A0" w:firstRow="1" w:lastRow="0" w:firstColumn="1" w:lastColumn="0" w:noHBand="0" w:noVBand="1"/>
      </w:tblPr>
      <w:tblGrid>
        <w:gridCol w:w="124"/>
        <w:gridCol w:w="9655"/>
      </w:tblGrid>
      <w:tr w:rsidR="00632A81" w:rsidRPr="00632A81" w14:paraId="4F209724" w14:textId="77777777" w:rsidTr="00632A81">
        <w:tc>
          <w:tcPr>
            <w:tcW w:w="0" w:type="auto"/>
            <w:shd w:val="clear" w:color="auto" w:fill="FFFFFF"/>
            <w:hideMark/>
          </w:tcPr>
          <w:p w14:paraId="7DFB2D17"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a)</w:t>
            </w:r>
          </w:p>
        </w:tc>
        <w:tc>
          <w:tcPr>
            <w:tcW w:w="0" w:type="auto"/>
            <w:shd w:val="clear" w:color="auto" w:fill="FFFFFF"/>
            <w:hideMark/>
          </w:tcPr>
          <w:p w14:paraId="27FDCFFB"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povahu rizík súvisiacich so sledovanými cieľmi verejného záujmu, najmä rizík pre príjemcov služieb vrátane spotrebiteľov, pre odborníkov alebo tretie strany;</w:t>
            </w:r>
          </w:p>
        </w:tc>
      </w:tr>
    </w:tbl>
    <w:p w14:paraId="30531A71"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632A81" w:rsidRPr="00632A81" w14:paraId="2BD3869C" w14:textId="77777777" w:rsidTr="00632A81">
        <w:tc>
          <w:tcPr>
            <w:tcW w:w="0" w:type="auto"/>
            <w:shd w:val="clear" w:color="auto" w:fill="FFFFFF"/>
            <w:hideMark/>
          </w:tcPr>
          <w:p w14:paraId="7F2A3D22"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b)</w:t>
            </w:r>
          </w:p>
        </w:tc>
        <w:tc>
          <w:tcPr>
            <w:tcW w:w="0" w:type="auto"/>
            <w:shd w:val="clear" w:color="auto" w:fill="FFFFFF"/>
            <w:hideMark/>
          </w:tcPr>
          <w:p w14:paraId="12784AA0"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to, či sú existujúce pravidlá osobitného alebo všeobecnejšieho charakteru, napríklad pravidlá obsiahnuté v právnych predpisoch o bezpečnosti výrobkov alebo v právnych predpisoch o ochrane spotrebiteľa, nedostatočné na dosiahnutie sledovaného cieľa;</w:t>
            </w:r>
          </w:p>
        </w:tc>
      </w:tr>
    </w:tbl>
    <w:p w14:paraId="6CDFE822"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16"/>
        <w:gridCol w:w="9663"/>
      </w:tblGrid>
      <w:tr w:rsidR="00632A81" w:rsidRPr="00632A81" w14:paraId="1BB16D05" w14:textId="77777777" w:rsidTr="00632A81">
        <w:tc>
          <w:tcPr>
            <w:tcW w:w="0" w:type="auto"/>
            <w:shd w:val="clear" w:color="auto" w:fill="FFFFFF"/>
            <w:hideMark/>
          </w:tcPr>
          <w:p w14:paraId="64D95BE8"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c)</w:t>
            </w:r>
          </w:p>
        </w:tc>
        <w:tc>
          <w:tcPr>
            <w:tcW w:w="0" w:type="auto"/>
            <w:shd w:val="clear" w:color="auto" w:fill="FFFFFF"/>
            <w:hideMark/>
          </w:tcPr>
          <w:p w14:paraId="01A7C15B"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vhodnosť ustanovenia, pokiaľ ide o jeho vhodnosť na dosiahnutie sledovaného cieľa, a to, či skutočne odráža tento cieľ dôsledným a systematickým spôsobom, a teda či rieši zistené riziká podobným spôsobom ako pri porovnateľných činnostiach;</w:t>
            </w:r>
          </w:p>
        </w:tc>
      </w:tr>
    </w:tbl>
    <w:p w14:paraId="00B00BB3"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78"/>
        <w:gridCol w:w="9601"/>
      </w:tblGrid>
      <w:tr w:rsidR="00632A81" w:rsidRPr="00632A81" w14:paraId="0DDF192A" w14:textId="77777777" w:rsidTr="00632A81">
        <w:tc>
          <w:tcPr>
            <w:tcW w:w="0" w:type="auto"/>
            <w:shd w:val="clear" w:color="auto" w:fill="FFFFFF"/>
            <w:hideMark/>
          </w:tcPr>
          <w:p w14:paraId="7CBD7773"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d)</w:t>
            </w:r>
          </w:p>
        </w:tc>
        <w:tc>
          <w:tcPr>
            <w:tcW w:w="0" w:type="auto"/>
            <w:shd w:val="clear" w:color="auto" w:fill="FFFFFF"/>
            <w:hideMark/>
          </w:tcPr>
          <w:p w14:paraId="0B9C7FCA"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dosah na voľný pohyb osôb a služieb v rámci Únie, na výber pre spotrebiteľov a na kvalitu poskytovanej služby;</w:t>
            </w:r>
          </w:p>
        </w:tc>
      </w:tr>
    </w:tbl>
    <w:p w14:paraId="42D51D40"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7"/>
        <w:gridCol w:w="9652"/>
      </w:tblGrid>
      <w:tr w:rsidR="00632A81" w:rsidRPr="00632A81" w14:paraId="52914806" w14:textId="77777777" w:rsidTr="00632A81">
        <w:tc>
          <w:tcPr>
            <w:tcW w:w="0" w:type="auto"/>
            <w:shd w:val="clear" w:color="auto" w:fill="FFFFFF"/>
            <w:hideMark/>
          </w:tcPr>
          <w:p w14:paraId="04CFF48C"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e)</w:t>
            </w:r>
          </w:p>
        </w:tc>
        <w:tc>
          <w:tcPr>
            <w:tcW w:w="0" w:type="auto"/>
            <w:shd w:val="clear" w:color="auto" w:fill="FFFFFF"/>
            <w:hideMark/>
          </w:tcPr>
          <w:p w14:paraId="38E55F9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možnosť použitia menej obmedzujúcich prostriedkov na dosiahnutie cieľa verejného záujmu; na účely tohto písmena, ak sú ustanovenia odôvodnené iba ochranou spotrebiteľa a ak sa zistené riziká obmedzujú na vzťah medzi odborníkom a spotrebiteľom, a preto nemajú negatívny vplyv na tretie strany, členské štáty posúdia najmä to, či cieľ možno dosiahnuť pomocou prostriedkov, ktoré sú menej obmedzujúce než vyhradenie činností;</w:t>
            </w:r>
          </w:p>
        </w:tc>
      </w:tr>
    </w:tbl>
    <w:p w14:paraId="2A84E70C"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98"/>
        <w:gridCol w:w="9681"/>
      </w:tblGrid>
      <w:tr w:rsidR="00632A81" w:rsidRPr="00632A81" w14:paraId="4D489910" w14:textId="77777777" w:rsidTr="00632A81">
        <w:tc>
          <w:tcPr>
            <w:tcW w:w="0" w:type="auto"/>
            <w:shd w:val="clear" w:color="auto" w:fill="FFFFFF"/>
            <w:hideMark/>
          </w:tcPr>
          <w:p w14:paraId="47A07B2B"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f)</w:t>
            </w:r>
          </w:p>
        </w:tc>
        <w:tc>
          <w:tcPr>
            <w:tcW w:w="0" w:type="auto"/>
            <w:shd w:val="clear" w:color="auto" w:fill="FFFFFF"/>
            <w:hideMark/>
          </w:tcPr>
          <w:p w14:paraId="72A20938"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účinok nových alebo zmenených ustanovení v spojení s inými ustanoveniami obmedzujúcimi prístup k povolaniu alebo jeho vykonávanie, a najmä spôsob, akým nové alebo zmenené ustanovenia v spojení s inými požiadavkami prispievajú k dosiahnutiu cieľa verejného záujmu, a či sú nevyhnutné na dosiahnutie daného cieľa.</w:t>
            </w:r>
          </w:p>
        </w:tc>
      </w:tr>
    </w:tbl>
    <w:p w14:paraId="7524CE0E"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Členské štáty zvážia aj tieto faktory, ak sú relevantné pre povahu a obsah zavádzaného alebo meneného ustanovenia:</w:t>
      </w:r>
    </w:p>
    <w:tbl>
      <w:tblPr>
        <w:tblW w:w="5000" w:type="pct"/>
        <w:shd w:val="clear" w:color="auto" w:fill="FFFFFF"/>
        <w:tblCellMar>
          <w:left w:w="0" w:type="dxa"/>
          <w:right w:w="0" w:type="dxa"/>
        </w:tblCellMar>
        <w:tblLook w:val="04A0" w:firstRow="1" w:lastRow="0" w:firstColumn="1" w:lastColumn="0" w:noHBand="0" w:noVBand="1"/>
      </w:tblPr>
      <w:tblGrid>
        <w:gridCol w:w="160"/>
        <w:gridCol w:w="9619"/>
      </w:tblGrid>
      <w:tr w:rsidR="00632A81" w:rsidRPr="00632A81" w14:paraId="5D7708C2" w14:textId="77777777" w:rsidTr="00632A81">
        <w:tc>
          <w:tcPr>
            <w:tcW w:w="0" w:type="auto"/>
            <w:shd w:val="clear" w:color="auto" w:fill="FFFFFF"/>
            <w:hideMark/>
          </w:tcPr>
          <w:p w14:paraId="2001E7B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a)</w:t>
            </w:r>
          </w:p>
        </w:tc>
        <w:tc>
          <w:tcPr>
            <w:tcW w:w="0" w:type="auto"/>
            <w:shd w:val="clear" w:color="auto" w:fill="FFFFFF"/>
            <w:hideMark/>
          </w:tcPr>
          <w:p w14:paraId="042368C5"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súvislosť medzi rozsahom činností povolania alebo činností preň vyhradených a požadovanou odbornou kvalifikáciou;</w:t>
            </w:r>
          </w:p>
        </w:tc>
      </w:tr>
    </w:tbl>
    <w:p w14:paraId="3A97E759"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632A81" w:rsidRPr="00632A81" w14:paraId="297E3CC3" w14:textId="77777777" w:rsidTr="00632A81">
        <w:tc>
          <w:tcPr>
            <w:tcW w:w="0" w:type="auto"/>
            <w:shd w:val="clear" w:color="auto" w:fill="FFFFFF"/>
            <w:hideMark/>
          </w:tcPr>
          <w:p w14:paraId="7093183F"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b)</w:t>
            </w:r>
          </w:p>
        </w:tc>
        <w:tc>
          <w:tcPr>
            <w:tcW w:w="0" w:type="auto"/>
            <w:shd w:val="clear" w:color="auto" w:fill="FFFFFF"/>
            <w:hideMark/>
          </w:tcPr>
          <w:p w14:paraId="56161DB3"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súvislosť medzi komplexnosťou príslušných úloh a potrebou, aby tí, ktorí ich vykonávajú, mali osobitnú odbornú kvalifikáciu, najmä pokiaľ ide o úroveň, povahu a trvanie požadovanej odbornej prípravy alebo praxe;</w:t>
            </w:r>
          </w:p>
        </w:tc>
      </w:tr>
    </w:tbl>
    <w:p w14:paraId="6AEDCB6C"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215"/>
        <w:gridCol w:w="9564"/>
      </w:tblGrid>
      <w:tr w:rsidR="00632A81" w:rsidRPr="00632A81" w14:paraId="249AE0C3" w14:textId="77777777" w:rsidTr="00632A81">
        <w:tc>
          <w:tcPr>
            <w:tcW w:w="0" w:type="auto"/>
            <w:shd w:val="clear" w:color="auto" w:fill="FFFFFF"/>
            <w:hideMark/>
          </w:tcPr>
          <w:p w14:paraId="3FA1CC1F"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c)</w:t>
            </w:r>
          </w:p>
        </w:tc>
        <w:tc>
          <w:tcPr>
            <w:tcW w:w="0" w:type="auto"/>
            <w:shd w:val="clear" w:color="auto" w:fill="FFFFFF"/>
            <w:hideMark/>
          </w:tcPr>
          <w:p w14:paraId="3D208BAA"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možnosť získania odbornej kvalifikácie prostredníctvom alternatívnych spôsobov;</w:t>
            </w:r>
          </w:p>
        </w:tc>
      </w:tr>
    </w:tbl>
    <w:p w14:paraId="64AD50CF"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87"/>
        <w:gridCol w:w="9592"/>
      </w:tblGrid>
      <w:tr w:rsidR="00632A81" w:rsidRPr="00632A81" w14:paraId="29D4CD5A" w14:textId="77777777" w:rsidTr="00632A81">
        <w:tc>
          <w:tcPr>
            <w:tcW w:w="0" w:type="auto"/>
            <w:shd w:val="clear" w:color="auto" w:fill="FFFFFF"/>
            <w:hideMark/>
          </w:tcPr>
          <w:p w14:paraId="6802095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d)</w:t>
            </w:r>
          </w:p>
        </w:tc>
        <w:tc>
          <w:tcPr>
            <w:tcW w:w="0" w:type="auto"/>
            <w:shd w:val="clear" w:color="auto" w:fill="FFFFFF"/>
            <w:hideMark/>
          </w:tcPr>
          <w:p w14:paraId="312D16EA"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či a prečo činnosti vyhradené pre určité povolania môžu alebo nemôžu byť spoločné s inými povolaniami;</w:t>
            </w:r>
          </w:p>
        </w:tc>
      </w:tr>
    </w:tbl>
    <w:p w14:paraId="63D6ADF7"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7"/>
        <w:gridCol w:w="9652"/>
      </w:tblGrid>
      <w:tr w:rsidR="00632A81" w:rsidRPr="00632A81" w14:paraId="4FE0F670" w14:textId="77777777" w:rsidTr="00632A81">
        <w:tc>
          <w:tcPr>
            <w:tcW w:w="0" w:type="auto"/>
            <w:shd w:val="clear" w:color="auto" w:fill="FFFFFF"/>
            <w:hideMark/>
          </w:tcPr>
          <w:p w14:paraId="3DDCC661"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e)</w:t>
            </w:r>
          </w:p>
        </w:tc>
        <w:tc>
          <w:tcPr>
            <w:tcW w:w="0" w:type="auto"/>
            <w:shd w:val="clear" w:color="auto" w:fill="FFFFFF"/>
            <w:hideMark/>
          </w:tcPr>
          <w:p w14:paraId="59B3556C"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stupeň nezávislosti pri výkone regulovaného povolania a vplyv organizačných opatrení a opatrení dohľadu na dosiahnutie sledovaného cieľa, najmä ak sú činnosti súvisiace s regulovaným povolaním vykonávané pod dohľadom a zodpovednosťou riadne kvalifikovaného odborníka;</w:t>
            </w:r>
          </w:p>
        </w:tc>
      </w:tr>
    </w:tbl>
    <w:p w14:paraId="045AF73D"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19"/>
        <w:gridCol w:w="9660"/>
      </w:tblGrid>
      <w:tr w:rsidR="00632A81" w:rsidRPr="00632A81" w14:paraId="2EABDD18" w14:textId="77777777" w:rsidTr="00632A81">
        <w:tc>
          <w:tcPr>
            <w:tcW w:w="0" w:type="auto"/>
            <w:shd w:val="clear" w:color="auto" w:fill="FFFFFF"/>
            <w:hideMark/>
          </w:tcPr>
          <w:p w14:paraId="30CB9CC1"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f)</w:t>
            </w:r>
          </w:p>
        </w:tc>
        <w:tc>
          <w:tcPr>
            <w:tcW w:w="0" w:type="auto"/>
            <w:shd w:val="clear" w:color="auto" w:fill="FFFFFF"/>
            <w:hideMark/>
          </w:tcPr>
          <w:p w14:paraId="0E49576E"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vedecký a technologický rozvoj, ktorý môže účinne znížiť alebo zvýšiť asymetriu informácií medzi odborníkmi a spotrebiteľmi.</w:t>
            </w:r>
          </w:p>
        </w:tc>
      </w:tr>
    </w:tbl>
    <w:p w14:paraId="124DBC2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 xml:space="preserve">3.   Na účely odseku 2 prvého </w:t>
      </w:r>
      <w:proofErr w:type="spellStart"/>
      <w:r w:rsidRPr="00632A81">
        <w:rPr>
          <w:rFonts w:asciiTheme="majorHAnsi" w:hAnsiTheme="majorHAnsi" w:cstheme="majorHAnsi"/>
          <w:sz w:val="16"/>
          <w:szCs w:val="16"/>
        </w:rPr>
        <w:t>pododseku</w:t>
      </w:r>
      <w:proofErr w:type="spellEnd"/>
      <w:r w:rsidRPr="00632A81">
        <w:rPr>
          <w:rFonts w:asciiTheme="majorHAnsi" w:hAnsiTheme="majorHAnsi" w:cstheme="majorHAnsi"/>
          <w:sz w:val="16"/>
          <w:szCs w:val="16"/>
        </w:rPr>
        <w:t xml:space="preserve"> písm. f) členské štáty posúdia účinok nových alebo zmenených ustanovení v spojení s jednou alebo viacerými z nasledujúcich požiadaviek, pričom zohľadňujú skutočnosť, že takéto účinky môžu byť pozitívne, ako aj negatívne, a to najmä:</w:t>
      </w:r>
    </w:p>
    <w:tbl>
      <w:tblPr>
        <w:tblW w:w="5000" w:type="pct"/>
        <w:shd w:val="clear" w:color="auto" w:fill="FFFFFF"/>
        <w:tblCellMar>
          <w:left w:w="0" w:type="dxa"/>
          <w:right w:w="0" w:type="dxa"/>
        </w:tblCellMar>
        <w:tblLook w:val="04A0" w:firstRow="1" w:lastRow="0" w:firstColumn="1" w:lastColumn="0" w:noHBand="0" w:noVBand="1"/>
      </w:tblPr>
      <w:tblGrid>
        <w:gridCol w:w="137"/>
        <w:gridCol w:w="9642"/>
      </w:tblGrid>
      <w:tr w:rsidR="00632A81" w:rsidRPr="00632A81" w14:paraId="51791F04" w14:textId="77777777" w:rsidTr="00632A81">
        <w:tc>
          <w:tcPr>
            <w:tcW w:w="0" w:type="auto"/>
            <w:shd w:val="clear" w:color="auto" w:fill="FFFFFF"/>
            <w:hideMark/>
          </w:tcPr>
          <w:p w14:paraId="4B382D9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a)</w:t>
            </w:r>
          </w:p>
        </w:tc>
        <w:tc>
          <w:tcPr>
            <w:tcW w:w="0" w:type="auto"/>
            <w:shd w:val="clear" w:color="auto" w:fill="FFFFFF"/>
            <w:hideMark/>
          </w:tcPr>
          <w:p w14:paraId="4539B247"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vyhradené činnosti, chránený profesijný titul alebo akákoľvek iná forma regulácie v zmysle článku 3 ods. 1 písm. a) smernice 2005/36/ES;</w:t>
            </w:r>
          </w:p>
        </w:tc>
      </w:tr>
    </w:tbl>
    <w:p w14:paraId="2EA7B266"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321"/>
        <w:gridCol w:w="9458"/>
      </w:tblGrid>
      <w:tr w:rsidR="00632A81" w:rsidRPr="00632A81" w14:paraId="5E2F1898" w14:textId="77777777" w:rsidTr="00632A81">
        <w:tc>
          <w:tcPr>
            <w:tcW w:w="0" w:type="auto"/>
            <w:shd w:val="clear" w:color="auto" w:fill="FFFFFF"/>
            <w:hideMark/>
          </w:tcPr>
          <w:p w14:paraId="7273B3A4"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b)</w:t>
            </w:r>
          </w:p>
        </w:tc>
        <w:tc>
          <w:tcPr>
            <w:tcW w:w="0" w:type="auto"/>
            <w:shd w:val="clear" w:color="auto" w:fill="FFFFFF"/>
            <w:hideMark/>
          </w:tcPr>
          <w:p w14:paraId="5BBF8A72"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povinnosti podrobiť sa kontinuálnemu profesijnému rozvoju;</w:t>
            </w:r>
          </w:p>
        </w:tc>
      </w:tr>
    </w:tbl>
    <w:p w14:paraId="4FCF6F9C"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209"/>
        <w:gridCol w:w="9570"/>
      </w:tblGrid>
      <w:tr w:rsidR="00632A81" w:rsidRPr="00632A81" w14:paraId="5EE4FDED" w14:textId="77777777" w:rsidTr="00632A81">
        <w:tc>
          <w:tcPr>
            <w:tcW w:w="0" w:type="auto"/>
            <w:shd w:val="clear" w:color="auto" w:fill="FFFFFF"/>
            <w:hideMark/>
          </w:tcPr>
          <w:p w14:paraId="63F99F31"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c)</w:t>
            </w:r>
          </w:p>
        </w:tc>
        <w:tc>
          <w:tcPr>
            <w:tcW w:w="0" w:type="auto"/>
            <w:shd w:val="clear" w:color="auto" w:fill="FFFFFF"/>
            <w:hideMark/>
          </w:tcPr>
          <w:p w14:paraId="7A5D0DBD"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pravidlá súvisiace s organizáciou daného povolania, profesijnou etikou a dohľadom;</w:t>
            </w:r>
          </w:p>
        </w:tc>
      </w:tr>
    </w:tbl>
    <w:p w14:paraId="11EE4717"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632A81" w:rsidRPr="00632A81" w14:paraId="15A8BEC5" w14:textId="77777777" w:rsidTr="00632A81">
        <w:tc>
          <w:tcPr>
            <w:tcW w:w="0" w:type="auto"/>
            <w:shd w:val="clear" w:color="auto" w:fill="FFFFFF"/>
            <w:hideMark/>
          </w:tcPr>
          <w:p w14:paraId="7D29F69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d)</w:t>
            </w:r>
          </w:p>
        </w:tc>
        <w:tc>
          <w:tcPr>
            <w:tcW w:w="0" w:type="auto"/>
            <w:shd w:val="clear" w:color="auto" w:fill="FFFFFF"/>
            <w:hideMark/>
          </w:tcPr>
          <w:p w14:paraId="4DE64318"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povinné členstvo v profesijnej organizácii alebo v profesijnom orgáne, systémy registrácie alebo udeľovania oprávnení, najmä ak tieto požiadavky znamenajú vlastníctvo osobitnej odbornej kvalifikácie;</w:t>
            </w:r>
          </w:p>
        </w:tc>
      </w:tr>
    </w:tbl>
    <w:p w14:paraId="05AB573F"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27"/>
        <w:gridCol w:w="9652"/>
      </w:tblGrid>
      <w:tr w:rsidR="00632A81" w:rsidRPr="00632A81" w14:paraId="5F20404F" w14:textId="77777777" w:rsidTr="00632A81">
        <w:tc>
          <w:tcPr>
            <w:tcW w:w="0" w:type="auto"/>
            <w:shd w:val="clear" w:color="auto" w:fill="FFFFFF"/>
            <w:hideMark/>
          </w:tcPr>
          <w:p w14:paraId="193ED0E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e)</w:t>
            </w:r>
          </w:p>
        </w:tc>
        <w:tc>
          <w:tcPr>
            <w:tcW w:w="0" w:type="auto"/>
            <w:shd w:val="clear" w:color="auto" w:fill="FFFFFF"/>
            <w:hideMark/>
          </w:tcPr>
          <w:p w14:paraId="19E0C633"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kvantitatívne obmedzenia, najmä požiadavky obmedzujúce počet oprávnení na prax, alebo určujúce minimálny alebo maximálny počet zamestnancov, riadiacich pracovníkov alebo zástupcov, ktorí majú osobitné odborné kvalifikácie;</w:t>
            </w:r>
          </w:p>
        </w:tc>
      </w:tr>
    </w:tbl>
    <w:p w14:paraId="734FEFDC"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98"/>
        <w:gridCol w:w="9681"/>
      </w:tblGrid>
      <w:tr w:rsidR="00632A81" w:rsidRPr="00632A81" w14:paraId="26BACC58" w14:textId="77777777" w:rsidTr="00632A81">
        <w:tc>
          <w:tcPr>
            <w:tcW w:w="0" w:type="auto"/>
            <w:shd w:val="clear" w:color="auto" w:fill="FFFFFF"/>
            <w:hideMark/>
          </w:tcPr>
          <w:p w14:paraId="5CB1D0F8"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f)</w:t>
            </w:r>
          </w:p>
        </w:tc>
        <w:tc>
          <w:tcPr>
            <w:tcW w:w="0" w:type="auto"/>
            <w:shd w:val="clear" w:color="auto" w:fill="FFFFFF"/>
            <w:hideMark/>
          </w:tcPr>
          <w:p w14:paraId="2CAA9249"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osobitné požiadavky na právnu formu alebo požiadavky týkajúce sa vlastníckej štruktúry alebo riadenia spoločnosti v rozsahu, v akom sú tieto požiadavky priamo spojené s výkonom regulovaného povolania;</w:t>
            </w:r>
          </w:p>
        </w:tc>
      </w:tr>
    </w:tbl>
    <w:p w14:paraId="673E0CEE"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0"/>
        <w:gridCol w:w="9649"/>
      </w:tblGrid>
      <w:tr w:rsidR="00632A81" w:rsidRPr="00632A81" w14:paraId="7E92AD52" w14:textId="77777777" w:rsidTr="00632A81">
        <w:tc>
          <w:tcPr>
            <w:tcW w:w="0" w:type="auto"/>
            <w:shd w:val="clear" w:color="auto" w:fill="FFFFFF"/>
            <w:hideMark/>
          </w:tcPr>
          <w:p w14:paraId="5282F2CE"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g)</w:t>
            </w:r>
          </w:p>
        </w:tc>
        <w:tc>
          <w:tcPr>
            <w:tcW w:w="0" w:type="auto"/>
            <w:shd w:val="clear" w:color="auto" w:fill="FFFFFF"/>
            <w:hideMark/>
          </w:tcPr>
          <w:p w14:paraId="04A9BBB4"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územné obmedzenia vrátane prípadov, keď je povolanie regulované v častiach územia členského štátu iným spôsobom než v ostatných častiach;</w:t>
            </w:r>
          </w:p>
        </w:tc>
      </w:tr>
    </w:tbl>
    <w:p w14:paraId="5C102730"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68"/>
        <w:gridCol w:w="9611"/>
      </w:tblGrid>
      <w:tr w:rsidR="00632A81" w:rsidRPr="00632A81" w14:paraId="24264FF5" w14:textId="77777777" w:rsidTr="00632A81">
        <w:tc>
          <w:tcPr>
            <w:tcW w:w="0" w:type="auto"/>
            <w:shd w:val="clear" w:color="auto" w:fill="FFFFFF"/>
            <w:hideMark/>
          </w:tcPr>
          <w:p w14:paraId="72BC34C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h)</w:t>
            </w:r>
          </w:p>
        </w:tc>
        <w:tc>
          <w:tcPr>
            <w:tcW w:w="0" w:type="auto"/>
            <w:shd w:val="clear" w:color="auto" w:fill="FFFFFF"/>
            <w:hideMark/>
          </w:tcPr>
          <w:p w14:paraId="3941960D"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požiadavky obmedzujúce výkon regulovaného povolania spoločne alebo v partnerstve, ako aj pravidlá nezlučiteľnosti;</w:t>
            </w:r>
          </w:p>
        </w:tc>
      </w:tr>
    </w:tbl>
    <w:p w14:paraId="6CD63EAC"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01"/>
        <w:gridCol w:w="9678"/>
      </w:tblGrid>
      <w:tr w:rsidR="00632A81" w:rsidRPr="00632A81" w14:paraId="02D690C7" w14:textId="77777777" w:rsidTr="00632A81">
        <w:tc>
          <w:tcPr>
            <w:tcW w:w="0" w:type="auto"/>
            <w:shd w:val="clear" w:color="auto" w:fill="FFFFFF"/>
            <w:hideMark/>
          </w:tcPr>
          <w:p w14:paraId="722F3010"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i)</w:t>
            </w:r>
          </w:p>
        </w:tc>
        <w:tc>
          <w:tcPr>
            <w:tcW w:w="0" w:type="auto"/>
            <w:shd w:val="clear" w:color="auto" w:fill="FFFFFF"/>
            <w:hideMark/>
          </w:tcPr>
          <w:p w14:paraId="1753BF17"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požiadavky týkajúce sa poistného krytia alebo iných prostriedkov osobnej alebo kolektívnej ochrany profesijnej zodpovednosti;</w:t>
            </w:r>
          </w:p>
        </w:tc>
      </w:tr>
    </w:tbl>
    <w:p w14:paraId="7C7CD757"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58"/>
        <w:gridCol w:w="9621"/>
      </w:tblGrid>
      <w:tr w:rsidR="00632A81" w:rsidRPr="00632A81" w14:paraId="01B35D02" w14:textId="77777777" w:rsidTr="00632A81">
        <w:tc>
          <w:tcPr>
            <w:tcW w:w="0" w:type="auto"/>
            <w:shd w:val="clear" w:color="auto" w:fill="FFFFFF"/>
            <w:hideMark/>
          </w:tcPr>
          <w:p w14:paraId="5C5E158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j)</w:t>
            </w:r>
          </w:p>
        </w:tc>
        <w:tc>
          <w:tcPr>
            <w:tcW w:w="0" w:type="auto"/>
            <w:shd w:val="clear" w:color="auto" w:fill="FFFFFF"/>
            <w:hideMark/>
          </w:tcPr>
          <w:p w14:paraId="206C9C42"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požiadavky na jazykové znalosti v rozsahu potrebnom pre vykonávanie povolania;</w:t>
            </w:r>
          </w:p>
        </w:tc>
      </w:tr>
    </w:tbl>
    <w:p w14:paraId="5903BEB6"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295"/>
        <w:gridCol w:w="9484"/>
      </w:tblGrid>
      <w:tr w:rsidR="00632A81" w:rsidRPr="00632A81" w14:paraId="04036588" w14:textId="77777777" w:rsidTr="00632A81">
        <w:tc>
          <w:tcPr>
            <w:tcW w:w="0" w:type="auto"/>
            <w:shd w:val="clear" w:color="auto" w:fill="FFFFFF"/>
            <w:hideMark/>
          </w:tcPr>
          <w:p w14:paraId="7FB833AB"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k)</w:t>
            </w:r>
          </w:p>
        </w:tc>
        <w:tc>
          <w:tcPr>
            <w:tcW w:w="0" w:type="auto"/>
            <w:shd w:val="clear" w:color="auto" w:fill="FFFFFF"/>
            <w:hideMark/>
          </w:tcPr>
          <w:p w14:paraId="58A31903"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požiadavky na pevné minimálne a/alebo maximálne sadzby;</w:t>
            </w:r>
          </w:p>
        </w:tc>
      </w:tr>
    </w:tbl>
    <w:p w14:paraId="115AB2EE"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391"/>
        <w:gridCol w:w="9388"/>
      </w:tblGrid>
      <w:tr w:rsidR="00632A81" w:rsidRPr="00632A81" w14:paraId="066665B8" w14:textId="77777777" w:rsidTr="00632A81">
        <w:tc>
          <w:tcPr>
            <w:tcW w:w="0" w:type="auto"/>
            <w:shd w:val="clear" w:color="auto" w:fill="FFFFFF"/>
            <w:hideMark/>
          </w:tcPr>
          <w:p w14:paraId="5F8F017E"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l)</w:t>
            </w:r>
          </w:p>
        </w:tc>
        <w:tc>
          <w:tcPr>
            <w:tcW w:w="0" w:type="auto"/>
            <w:shd w:val="clear" w:color="auto" w:fill="FFFFFF"/>
            <w:hideMark/>
          </w:tcPr>
          <w:p w14:paraId="0C391EFC"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požiadavky týkajúce sa reklamy.</w:t>
            </w:r>
          </w:p>
        </w:tc>
      </w:tr>
    </w:tbl>
    <w:p w14:paraId="2158F1DA"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4.   Pred zavedením nových alebo zmenou existujúcich ustanovení členské štáty okrem toho zabezpečia súlad špecifických požiadaviek súvisiacich s dočasným a príležitostným poskytovaním služieb, ktoré sú stanovené v hlave II smernice 2005/36/ES, so zásadou proporcionality, vrátane:</w:t>
      </w:r>
    </w:p>
    <w:tbl>
      <w:tblPr>
        <w:tblW w:w="5000" w:type="pct"/>
        <w:shd w:val="clear" w:color="auto" w:fill="FFFFFF"/>
        <w:tblCellMar>
          <w:left w:w="0" w:type="dxa"/>
          <w:right w:w="0" w:type="dxa"/>
        </w:tblCellMar>
        <w:tblLook w:val="04A0" w:firstRow="1" w:lastRow="0" w:firstColumn="1" w:lastColumn="0" w:noHBand="0" w:noVBand="1"/>
      </w:tblPr>
      <w:tblGrid>
        <w:gridCol w:w="124"/>
        <w:gridCol w:w="9655"/>
      </w:tblGrid>
      <w:tr w:rsidR="00632A81" w:rsidRPr="00632A81" w14:paraId="3DF54166" w14:textId="77777777" w:rsidTr="00632A81">
        <w:tc>
          <w:tcPr>
            <w:tcW w:w="0" w:type="auto"/>
            <w:shd w:val="clear" w:color="auto" w:fill="FFFFFF"/>
            <w:hideMark/>
          </w:tcPr>
          <w:p w14:paraId="6C42FFE6"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a)</w:t>
            </w:r>
          </w:p>
        </w:tc>
        <w:tc>
          <w:tcPr>
            <w:tcW w:w="0" w:type="auto"/>
            <w:shd w:val="clear" w:color="auto" w:fill="FFFFFF"/>
            <w:hideMark/>
          </w:tcPr>
          <w:p w14:paraId="6160143D"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automatickej dočasnej registrácie alebo pro forma členstva v profesijnej organizácii alebo orgáne, uvedenej v článku 6 prvom odseku písm. a) smernice 2005/36/ES;</w:t>
            </w:r>
          </w:p>
        </w:tc>
      </w:tr>
    </w:tbl>
    <w:p w14:paraId="04DACCB6"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31"/>
        <w:gridCol w:w="9648"/>
      </w:tblGrid>
      <w:tr w:rsidR="00632A81" w:rsidRPr="00632A81" w14:paraId="6E1675BE" w14:textId="77777777" w:rsidTr="00632A81">
        <w:tc>
          <w:tcPr>
            <w:tcW w:w="0" w:type="auto"/>
            <w:shd w:val="clear" w:color="auto" w:fill="FFFFFF"/>
            <w:hideMark/>
          </w:tcPr>
          <w:p w14:paraId="58EC0FBF"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b)</w:t>
            </w:r>
          </w:p>
        </w:tc>
        <w:tc>
          <w:tcPr>
            <w:tcW w:w="0" w:type="auto"/>
            <w:shd w:val="clear" w:color="auto" w:fill="FFFFFF"/>
            <w:hideMark/>
          </w:tcPr>
          <w:p w14:paraId="732503FA"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vyhlásenia, ktoré je potrebné urobiť vopred, podľa článku 7 ods. 1 smernice 2005/36/ES, dokumentov, ktoré sa vyžadujú podľa odseku 2 uvedeného článku alebo akejkoľvek inej rovnocennej požiadavky;</w:t>
            </w:r>
          </w:p>
        </w:tc>
      </w:tr>
    </w:tbl>
    <w:p w14:paraId="6EAFF7D3" w14:textId="77777777" w:rsidR="00632A81" w:rsidRPr="00632A81" w:rsidRDefault="00632A81" w:rsidP="00632A81">
      <w:pPr>
        <w:pStyle w:val="Textpoznmkypodiarou"/>
        <w:jc w:val="both"/>
        <w:rPr>
          <w:rFonts w:asciiTheme="majorHAnsi" w:hAnsiTheme="majorHAnsi" w:cstheme="majorHAnsi"/>
          <w:vanish/>
          <w:sz w:val="16"/>
          <w:szCs w:val="16"/>
        </w:rPr>
      </w:pPr>
    </w:p>
    <w:tbl>
      <w:tblPr>
        <w:tblW w:w="5000" w:type="pct"/>
        <w:shd w:val="clear" w:color="auto" w:fill="FFFFFF"/>
        <w:tblCellMar>
          <w:left w:w="0" w:type="dxa"/>
          <w:right w:w="0" w:type="dxa"/>
        </w:tblCellMar>
        <w:tblLook w:val="04A0" w:firstRow="1" w:lastRow="0" w:firstColumn="1" w:lastColumn="0" w:noHBand="0" w:noVBand="1"/>
      </w:tblPr>
      <w:tblGrid>
        <w:gridCol w:w="116"/>
        <w:gridCol w:w="9663"/>
      </w:tblGrid>
      <w:tr w:rsidR="00632A81" w:rsidRPr="00632A81" w14:paraId="75A7B214" w14:textId="77777777" w:rsidTr="00632A81">
        <w:tc>
          <w:tcPr>
            <w:tcW w:w="0" w:type="auto"/>
            <w:shd w:val="clear" w:color="auto" w:fill="FFFFFF"/>
            <w:hideMark/>
          </w:tcPr>
          <w:p w14:paraId="6FC358F4"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c)</w:t>
            </w:r>
          </w:p>
        </w:tc>
        <w:tc>
          <w:tcPr>
            <w:tcW w:w="0" w:type="auto"/>
            <w:shd w:val="clear" w:color="auto" w:fill="FFFFFF"/>
            <w:hideMark/>
          </w:tcPr>
          <w:p w14:paraId="343879DC"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zaplatenia príspevku alebo akýchkoľvek poplatkov vyžadovaných na účely administratívnych postupov, ktoré súvisia s prístupom k regulovaným povolaniam alebo ich vykonávaním, zo strany poskytovateľa služieb.</w:t>
            </w:r>
          </w:p>
        </w:tc>
      </w:tr>
    </w:tbl>
    <w:p w14:paraId="3D679C35" w14:textId="77777777"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Tento odsek sa nevzťahuje na opatrenia určené na zabezpečenie dodržiavania platných podmienok zamestnania, ktoré členské štáty uplatňujú v súlade s právom Únie.</w:t>
      </w:r>
    </w:p>
    <w:p w14:paraId="593E8E78" w14:textId="6435FDBD" w:rsidR="00632A81" w:rsidRPr="00632A81" w:rsidRDefault="00632A81" w:rsidP="00632A81">
      <w:pPr>
        <w:pStyle w:val="Textpoznmkypodiarou"/>
        <w:jc w:val="both"/>
        <w:rPr>
          <w:rFonts w:asciiTheme="majorHAnsi" w:hAnsiTheme="majorHAnsi" w:cstheme="majorHAnsi"/>
          <w:sz w:val="16"/>
          <w:szCs w:val="16"/>
        </w:rPr>
      </w:pPr>
      <w:r w:rsidRPr="00632A81">
        <w:rPr>
          <w:rFonts w:asciiTheme="majorHAnsi" w:hAnsiTheme="majorHAnsi" w:cstheme="majorHAnsi"/>
          <w:sz w:val="16"/>
          <w:szCs w:val="16"/>
        </w:rPr>
        <w:t>5.   Ak sa opatrenia uvedené v tomto článku týkajú regulácie zdravotníckych povolaní a majú dôsledky pre bezpečnosť pacientov, členské štáty zohľadňujú cieľ zabezpečiť vysokú úroveň ochrany ľudského zdravia.</w:t>
      </w:r>
    </w:p>
  </w:footnote>
  <w:footnote w:id="5">
    <w:p w14:paraId="5294BA15" w14:textId="77777777" w:rsidR="00DE022F" w:rsidRPr="00632A81" w:rsidRDefault="00DE022F" w:rsidP="00632A81">
      <w:pPr>
        <w:pStyle w:val="Textpoznmkypodiarou"/>
        <w:jc w:val="both"/>
        <w:rPr>
          <w:rFonts w:asciiTheme="majorHAnsi" w:hAnsiTheme="majorHAnsi" w:cstheme="majorHAnsi"/>
          <w:sz w:val="16"/>
          <w:szCs w:val="16"/>
        </w:rPr>
      </w:pPr>
      <w:r w:rsidRPr="00632A81">
        <w:rPr>
          <w:rStyle w:val="Odkaznapoznmkupodiarou"/>
          <w:rFonts w:asciiTheme="majorHAnsi" w:hAnsiTheme="majorHAnsi" w:cstheme="majorHAnsi"/>
          <w:sz w:val="16"/>
          <w:szCs w:val="16"/>
        </w:rPr>
        <w:footnoteRef/>
      </w:r>
      <w:r w:rsidRPr="00632A81">
        <w:rPr>
          <w:rFonts w:asciiTheme="majorHAnsi" w:hAnsiTheme="majorHAnsi" w:cstheme="majorHAnsi"/>
          <w:sz w:val="16"/>
          <w:szCs w:val="16"/>
        </w:rPr>
        <w:t xml:space="preserve"> </w:t>
      </w:r>
      <w:r w:rsidRPr="00632A81">
        <w:rPr>
          <w:rFonts w:asciiTheme="majorHAnsi" w:hAnsiTheme="majorHAnsi" w:cstheme="majorHAnsi"/>
          <w:sz w:val="16"/>
          <w:szCs w:val="16"/>
        </w:rPr>
        <w:t>§ 16 ods. 1 zákona o daňových poradcoch: Daňový poradca je povinný chrániť práva a oprávnené záujmy svojho klienta, konať pritom čestne a svedomite, dôsledne využívať všetky zákonné prostriedky a uplatňovať všetko, čo podľa svojho presvedčenia a príkazu klienta považuje za užitočné.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B6CA9" w14:textId="63B1EA24" w:rsidR="00F8324A" w:rsidRDefault="00034F1D" w:rsidP="001548BF">
    <w:pPr>
      <w:pStyle w:val="Hlavika"/>
      <w:ind w:left="-284" w:firstLine="284"/>
    </w:pPr>
    <w:r>
      <w:rPr>
        <w:noProof/>
        <w:lang w:eastAsia="sk-SK"/>
      </w:rPr>
      <w:drawing>
        <wp:anchor distT="0" distB="0" distL="114300" distR="114300" simplePos="0" relativeHeight="251658752" behindDoc="0" locked="0" layoutInCell="1" allowOverlap="1" wp14:anchorId="6B12EBB4" wp14:editId="0BD41EE5">
          <wp:simplePos x="0" y="0"/>
          <wp:positionH relativeFrom="column">
            <wp:posOffset>4659630</wp:posOffset>
          </wp:positionH>
          <wp:positionV relativeFrom="paragraph">
            <wp:posOffset>-26035</wp:posOffset>
          </wp:positionV>
          <wp:extent cx="1105535" cy="382270"/>
          <wp:effectExtent l="0" t="0" r="0" b="0"/>
          <wp:wrapNone/>
          <wp:docPr id="184112479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D490E6" wp14:editId="1AAB1255">
          <wp:extent cx="2735580" cy="350520"/>
          <wp:effectExtent l="0" t="0" r="0" b="0"/>
          <wp:docPr id="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5580" cy="350520"/>
                  </a:xfrm>
                  <a:prstGeom prst="rect">
                    <a:avLst/>
                  </a:prstGeom>
                  <a:noFill/>
                  <a:ln>
                    <a:noFill/>
                  </a:ln>
                </pic:spPr>
              </pic:pic>
            </a:graphicData>
          </a:graphic>
        </wp:inline>
      </w:drawing>
    </w:r>
    <w:r w:rsidR="00F343A6">
      <w:tab/>
      <w:t xml:space="preserve">                                                 </w:t>
    </w:r>
    <w:r w:rsidR="003C6060">
      <w:t xml:space="preserve">         </w:t>
    </w:r>
    <w:r w:rsidR="00F343A6">
      <w:t xml:space="preserve"> </w:t>
    </w:r>
    <w:r w:rsidR="00AE0E8E">
      <w:t xml:space="preserve">  </w:t>
    </w:r>
    <w:r w:rsidR="00F343A6">
      <w:tab/>
    </w:r>
  </w:p>
  <w:p w14:paraId="02547873" w14:textId="77777777" w:rsidR="00655643" w:rsidRDefault="00655643" w:rsidP="00F343A6">
    <w:pPr>
      <w:pStyle w:val="Hlavika"/>
      <w:ind w:left="-284"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31A8"/>
    <w:multiLevelType w:val="hybridMultilevel"/>
    <w:tmpl w:val="658E63C4"/>
    <w:lvl w:ilvl="0" w:tplc="96B4F3EE">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4C1131"/>
    <w:multiLevelType w:val="hybridMultilevel"/>
    <w:tmpl w:val="DE40E8CC"/>
    <w:lvl w:ilvl="0" w:tplc="923A2542">
      <w:start w:val="2"/>
      <w:numFmt w:val="bullet"/>
      <w:lvlText w:val="-"/>
      <w:lvlJc w:val="left"/>
      <w:pPr>
        <w:ind w:left="218" w:hanging="360"/>
      </w:pPr>
      <w:rPr>
        <w:rFonts w:ascii="Arial" w:eastAsia="Times New Roman" w:hAnsi="Arial" w:cs="Arial" w:hint="default"/>
      </w:rPr>
    </w:lvl>
    <w:lvl w:ilvl="1" w:tplc="041B0003" w:tentative="1">
      <w:start w:val="1"/>
      <w:numFmt w:val="bullet"/>
      <w:lvlText w:val="o"/>
      <w:lvlJc w:val="left"/>
      <w:pPr>
        <w:ind w:left="938" w:hanging="360"/>
      </w:pPr>
      <w:rPr>
        <w:rFonts w:ascii="Courier New" w:hAnsi="Courier New" w:cs="Courier New" w:hint="default"/>
      </w:rPr>
    </w:lvl>
    <w:lvl w:ilvl="2" w:tplc="041B0005" w:tentative="1">
      <w:start w:val="1"/>
      <w:numFmt w:val="bullet"/>
      <w:lvlText w:val=""/>
      <w:lvlJc w:val="left"/>
      <w:pPr>
        <w:ind w:left="1658" w:hanging="360"/>
      </w:pPr>
      <w:rPr>
        <w:rFonts w:ascii="Wingdings" w:hAnsi="Wingdings" w:hint="default"/>
      </w:rPr>
    </w:lvl>
    <w:lvl w:ilvl="3" w:tplc="041B0001" w:tentative="1">
      <w:start w:val="1"/>
      <w:numFmt w:val="bullet"/>
      <w:lvlText w:val=""/>
      <w:lvlJc w:val="left"/>
      <w:pPr>
        <w:ind w:left="2378" w:hanging="360"/>
      </w:pPr>
      <w:rPr>
        <w:rFonts w:ascii="Symbol" w:hAnsi="Symbol" w:hint="default"/>
      </w:rPr>
    </w:lvl>
    <w:lvl w:ilvl="4" w:tplc="041B0003" w:tentative="1">
      <w:start w:val="1"/>
      <w:numFmt w:val="bullet"/>
      <w:lvlText w:val="o"/>
      <w:lvlJc w:val="left"/>
      <w:pPr>
        <w:ind w:left="3098" w:hanging="360"/>
      </w:pPr>
      <w:rPr>
        <w:rFonts w:ascii="Courier New" w:hAnsi="Courier New" w:cs="Courier New" w:hint="default"/>
      </w:rPr>
    </w:lvl>
    <w:lvl w:ilvl="5" w:tplc="041B0005" w:tentative="1">
      <w:start w:val="1"/>
      <w:numFmt w:val="bullet"/>
      <w:lvlText w:val=""/>
      <w:lvlJc w:val="left"/>
      <w:pPr>
        <w:ind w:left="3818" w:hanging="360"/>
      </w:pPr>
      <w:rPr>
        <w:rFonts w:ascii="Wingdings" w:hAnsi="Wingdings" w:hint="default"/>
      </w:rPr>
    </w:lvl>
    <w:lvl w:ilvl="6" w:tplc="041B0001" w:tentative="1">
      <w:start w:val="1"/>
      <w:numFmt w:val="bullet"/>
      <w:lvlText w:val=""/>
      <w:lvlJc w:val="left"/>
      <w:pPr>
        <w:ind w:left="4538" w:hanging="360"/>
      </w:pPr>
      <w:rPr>
        <w:rFonts w:ascii="Symbol" w:hAnsi="Symbol" w:hint="default"/>
      </w:rPr>
    </w:lvl>
    <w:lvl w:ilvl="7" w:tplc="041B0003" w:tentative="1">
      <w:start w:val="1"/>
      <w:numFmt w:val="bullet"/>
      <w:lvlText w:val="o"/>
      <w:lvlJc w:val="left"/>
      <w:pPr>
        <w:ind w:left="5258" w:hanging="360"/>
      </w:pPr>
      <w:rPr>
        <w:rFonts w:ascii="Courier New" w:hAnsi="Courier New" w:cs="Courier New" w:hint="default"/>
      </w:rPr>
    </w:lvl>
    <w:lvl w:ilvl="8" w:tplc="041B0005" w:tentative="1">
      <w:start w:val="1"/>
      <w:numFmt w:val="bullet"/>
      <w:lvlText w:val=""/>
      <w:lvlJc w:val="left"/>
      <w:pPr>
        <w:ind w:left="5978" w:hanging="360"/>
      </w:pPr>
      <w:rPr>
        <w:rFonts w:ascii="Wingdings" w:hAnsi="Wingdings" w:hint="default"/>
      </w:rPr>
    </w:lvl>
  </w:abstractNum>
  <w:abstractNum w:abstractNumId="2" w15:restartNumberingAfterBreak="0">
    <w:nsid w:val="20E47A09"/>
    <w:multiLevelType w:val="multilevel"/>
    <w:tmpl w:val="227C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02C33"/>
    <w:multiLevelType w:val="multilevel"/>
    <w:tmpl w:val="D06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E01AB"/>
    <w:multiLevelType w:val="multilevel"/>
    <w:tmpl w:val="4D16A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409A4"/>
    <w:multiLevelType w:val="hybridMultilevel"/>
    <w:tmpl w:val="21F89106"/>
    <w:lvl w:ilvl="0" w:tplc="11CE70B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5F731D3"/>
    <w:multiLevelType w:val="multilevel"/>
    <w:tmpl w:val="5370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D7AC5"/>
    <w:multiLevelType w:val="multilevel"/>
    <w:tmpl w:val="3F7E29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1859968">
    <w:abstractNumId w:val="1"/>
  </w:num>
  <w:num w:numId="2" w16cid:durableId="638195812">
    <w:abstractNumId w:val="0"/>
  </w:num>
  <w:num w:numId="3" w16cid:durableId="113670114">
    <w:abstractNumId w:val="2"/>
  </w:num>
  <w:num w:numId="4" w16cid:durableId="1181359709">
    <w:abstractNumId w:val="5"/>
  </w:num>
  <w:num w:numId="5" w16cid:durableId="1691562852">
    <w:abstractNumId w:val="3"/>
  </w:num>
  <w:num w:numId="6" w16cid:durableId="1246457616">
    <w:abstractNumId w:val="6"/>
  </w:num>
  <w:num w:numId="7" w16cid:durableId="2042507913">
    <w:abstractNumId w:val="4"/>
  </w:num>
  <w:num w:numId="8" w16cid:durableId="644430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colormru v:ext="edit" colors="#999b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94"/>
    <w:rsid w:val="00034F1D"/>
    <w:rsid w:val="00036594"/>
    <w:rsid w:val="00042CE4"/>
    <w:rsid w:val="0006529D"/>
    <w:rsid w:val="00085DAC"/>
    <w:rsid w:val="000D1147"/>
    <w:rsid w:val="000F7859"/>
    <w:rsid w:val="001548BF"/>
    <w:rsid w:val="001678F2"/>
    <w:rsid w:val="00181349"/>
    <w:rsid w:val="001C550D"/>
    <w:rsid w:val="001C7E82"/>
    <w:rsid w:val="001D51C6"/>
    <w:rsid w:val="001E7D93"/>
    <w:rsid w:val="00214A28"/>
    <w:rsid w:val="00237DBA"/>
    <w:rsid w:val="002417A3"/>
    <w:rsid w:val="00276294"/>
    <w:rsid w:val="00295B4F"/>
    <w:rsid w:val="002F6B63"/>
    <w:rsid w:val="00326885"/>
    <w:rsid w:val="003454C5"/>
    <w:rsid w:val="00353B5E"/>
    <w:rsid w:val="00361380"/>
    <w:rsid w:val="003810A7"/>
    <w:rsid w:val="003A2D65"/>
    <w:rsid w:val="003C243E"/>
    <w:rsid w:val="003C6060"/>
    <w:rsid w:val="003E26B5"/>
    <w:rsid w:val="00400733"/>
    <w:rsid w:val="004029E8"/>
    <w:rsid w:val="004516BA"/>
    <w:rsid w:val="00474496"/>
    <w:rsid w:val="004812FD"/>
    <w:rsid w:val="00494A39"/>
    <w:rsid w:val="00494E44"/>
    <w:rsid w:val="004C270A"/>
    <w:rsid w:val="00524FF0"/>
    <w:rsid w:val="00552710"/>
    <w:rsid w:val="00555283"/>
    <w:rsid w:val="005721B5"/>
    <w:rsid w:val="00584753"/>
    <w:rsid w:val="005A7FBF"/>
    <w:rsid w:val="005C0E5F"/>
    <w:rsid w:val="005D55A3"/>
    <w:rsid w:val="00632492"/>
    <w:rsid w:val="00632A81"/>
    <w:rsid w:val="00655643"/>
    <w:rsid w:val="00674EF4"/>
    <w:rsid w:val="006D42AE"/>
    <w:rsid w:val="006E2719"/>
    <w:rsid w:val="0071678C"/>
    <w:rsid w:val="00716D99"/>
    <w:rsid w:val="00721EAA"/>
    <w:rsid w:val="00727800"/>
    <w:rsid w:val="00732EEE"/>
    <w:rsid w:val="00746919"/>
    <w:rsid w:val="007645DD"/>
    <w:rsid w:val="00774F0D"/>
    <w:rsid w:val="007C681E"/>
    <w:rsid w:val="00815EA5"/>
    <w:rsid w:val="00821C36"/>
    <w:rsid w:val="0082520D"/>
    <w:rsid w:val="008602D8"/>
    <w:rsid w:val="00862B02"/>
    <w:rsid w:val="008660C3"/>
    <w:rsid w:val="008A1796"/>
    <w:rsid w:val="009349A1"/>
    <w:rsid w:val="00951974"/>
    <w:rsid w:val="00951E38"/>
    <w:rsid w:val="009562CE"/>
    <w:rsid w:val="00965558"/>
    <w:rsid w:val="00983EB7"/>
    <w:rsid w:val="00990265"/>
    <w:rsid w:val="009C68D0"/>
    <w:rsid w:val="009F393B"/>
    <w:rsid w:val="009F48FA"/>
    <w:rsid w:val="00A00B8D"/>
    <w:rsid w:val="00A252C2"/>
    <w:rsid w:val="00A259D7"/>
    <w:rsid w:val="00A335A0"/>
    <w:rsid w:val="00A40D0E"/>
    <w:rsid w:val="00A62768"/>
    <w:rsid w:val="00A77BA9"/>
    <w:rsid w:val="00A804FA"/>
    <w:rsid w:val="00A9586D"/>
    <w:rsid w:val="00AA6F2F"/>
    <w:rsid w:val="00AC62C4"/>
    <w:rsid w:val="00AD2D9E"/>
    <w:rsid w:val="00AE0E8E"/>
    <w:rsid w:val="00AF2075"/>
    <w:rsid w:val="00B16723"/>
    <w:rsid w:val="00B204EF"/>
    <w:rsid w:val="00B31783"/>
    <w:rsid w:val="00B41072"/>
    <w:rsid w:val="00B443BC"/>
    <w:rsid w:val="00B71441"/>
    <w:rsid w:val="00B82D45"/>
    <w:rsid w:val="00B87287"/>
    <w:rsid w:val="00BA5FDE"/>
    <w:rsid w:val="00BC74A0"/>
    <w:rsid w:val="00BE4F07"/>
    <w:rsid w:val="00BF0098"/>
    <w:rsid w:val="00BF6FCD"/>
    <w:rsid w:val="00CC0506"/>
    <w:rsid w:val="00CC70CA"/>
    <w:rsid w:val="00D15D99"/>
    <w:rsid w:val="00D2468E"/>
    <w:rsid w:val="00D42D7A"/>
    <w:rsid w:val="00D74163"/>
    <w:rsid w:val="00D929A5"/>
    <w:rsid w:val="00DA4378"/>
    <w:rsid w:val="00DB4CEB"/>
    <w:rsid w:val="00DE022F"/>
    <w:rsid w:val="00DE47BF"/>
    <w:rsid w:val="00DF2182"/>
    <w:rsid w:val="00DF7FC5"/>
    <w:rsid w:val="00E576E7"/>
    <w:rsid w:val="00E7729A"/>
    <w:rsid w:val="00EA19E9"/>
    <w:rsid w:val="00EB76D9"/>
    <w:rsid w:val="00EF1A9D"/>
    <w:rsid w:val="00F06C32"/>
    <w:rsid w:val="00F104ED"/>
    <w:rsid w:val="00F27B3A"/>
    <w:rsid w:val="00F343A6"/>
    <w:rsid w:val="00F35BA2"/>
    <w:rsid w:val="00F413FB"/>
    <w:rsid w:val="00F51ED9"/>
    <w:rsid w:val="00F8324A"/>
    <w:rsid w:val="00F84EF2"/>
    <w:rsid w:val="00FA1DD8"/>
    <w:rsid w:val="00FA1F10"/>
    <w:rsid w:val="00FA5D3D"/>
    <w:rsid w:val="00FC3A4B"/>
    <w:rsid w:val="00FE11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99b9e"/>
    </o:shapedefaults>
    <o:shapelayout v:ext="edit">
      <o:idmap v:ext="edit" data="2"/>
    </o:shapelayout>
  </w:shapeDefaults>
  <w:decimalSymbol w:val=","/>
  <w:listSeparator w:val=";"/>
  <w14:docId w14:val="7B4623B3"/>
  <w15:docId w15:val="{61251583-275F-4627-AFFA-343C2D3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cs-CZ"/>
    </w:rPr>
  </w:style>
  <w:style w:type="paragraph" w:styleId="Nadpis1">
    <w:name w:val="heading 1"/>
    <w:basedOn w:val="Normlny"/>
    <w:next w:val="Normlny"/>
    <w:link w:val="Nadpis1Char"/>
    <w:qFormat/>
    <w:rsid w:val="004029E8"/>
    <w:pPr>
      <w:keepNext/>
      <w:ind w:left="1416" w:firstLine="708"/>
      <w:jc w:val="both"/>
      <w:outlineLvl w:val="0"/>
    </w:pPr>
    <w:rPr>
      <w:b/>
      <w:i/>
      <w:sz w:val="28"/>
      <w:szCs w:val="20"/>
      <w:lang w:eastAsia="sk-SK"/>
    </w:rPr>
  </w:style>
  <w:style w:type="paragraph" w:styleId="Nadpis2">
    <w:name w:val="heading 2"/>
    <w:basedOn w:val="Normlny"/>
    <w:next w:val="Normlny"/>
    <w:link w:val="Nadpis2Char"/>
    <w:qFormat/>
    <w:rsid w:val="004029E8"/>
    <w:pPr>
      <w:keepNext/>
      <w:outlineLvl w:val="1"/>
    </w:pPr>
    <w:rPr>
      <w:b/>
      <w:i/>
      <w:sz w:val="28"/>
      <w:szCs w:val="20"/>
      <w:lang w:eastAsia="sk-SK"/>
    </w:rPr>
  </w:style>
  <w:style w:type="paragraph" w:styleId="Nadpis3">
    <w:name w:val="heading 3"/>
    <w:basedOn w:val="Normlny"/>
    <w:next w:val="Normlny"/>
    <w:link w:val="Nadpis3Char"/>
    <w:uiPriority w:val="9"/>
    <w:semiHidden/>
    <w:unhideWhenUsed/>
    <w:qFormat/>
    <w:rsid w:val="00237DBA"/>
    <w:pPr>
      <w:keepNext/>
      <w:spacing w:before="240" w:after="60"/>
      <w:outlineLvl w:val="2"/>
    </w:pPr>
    <w:rPr>
      <w:rFonts w:ascii="Calibri Light" w:hAnsi="Calibri Light"/>
      <w:b/>
      <w:b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F8324A"/>
    <w:pPr>
      <w:tabs>
        <w:tab w:val="center" w:pos="4536"/>
        <w:tab w:val="right" w:pos="9072"/>
      </w:tabs>
    </w:pPr>
  </w:style>
  <w:style w:type="paragraph" w:styleId="Pta">
    <w:name w:val="footer"/>
    <w:basedOn w:val="Normlny"/>
    <w:rsid w:val="00F8324A"/>
    <w:pPr>
      <w:tabs>
        <w:tab w:val="center" w:pos="4536"/>
        <w:tab w:val="right" w:pos="9072"/>
      </w:tabs>
    </w:pPr>
  </w:style>
  <w:style w:type="table" w:styleId="Mriekatabuky">
    <w:name w:val="Table Grid"/>
    <w:basedOn w:val="Normlnatabuka"/>
    <w:rsid w:val="003E2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F343A6"/>
    <w:rPr>
      <w:color w:val="0563C1"/>
      <w:u w:val="single"/>
    </w:rPr>
  </w:style>
  <w:style w:type="paragraph" w:styleId="Textbubliny">
    <w:name w:val="Balloon Text"/>
    <w:basedOn w:val="Normlny"/>
    <w:link w:val="TextbublinyChar"/>
    <w:uiPriority w:val="99"/>
    <w:semiHidden/>
    <w:unhideWhenUsed/>
    <w:rsid w:val="00F343A6"/>
    <w:rPr>
      <w:rFonts w:ascii="Segoe UI" w:hAnsi="Segoe UI"/>
      <w:sz w:val="18"/>
      <w:szCs w:val="18"/>
      <w:lang w:val="x-none"/>
    </w:rPr>
  </w:style>
  <w:style w:type="character" w:customStyle="1" w:styleId="TextbublinyChar">
    <w:name w:val="Text bubliny Char"/>
    <w:link w:val="Textbubliny"/>
    <w:uiPriority w:val="99"/>
    <w:semiHidden/>
    <w:rsid w:val="00F343A6"/>
    <w:rPr>
      <w:rFonts w:ascii="Segoe UI" w:hAnsi="Segoe UI" w:cs="Segoe UI"/>
      <w:sz w:val="18"/>
      <w:szCs w:val="18"/>
      <w:lang w:eastAsia="cs-CZ"/>
    </w:rPr>
  </w:style>
  <w:style w:type="character" w:customStyle="1" w:styleId="Nadpis1Char">
    <w:name w:val="Nadpis 1 Char"/>
    <w:link w:val="Nadpis1"/>
    <w:rsid w:val="004029E8"/>
    <w:rPr>
      <w:b/>
      <w:i/>
      <w:sz w:val="28"/>
    </w:rPr>
  </w:style>
  <w:style w:type="character" w:customStyle="1" w:styleId="Nadpis2Char">
    <w:name w:val="Nadpis 2 Char"/>
    <w:link w:val="Nadpis2"/>
    <w:rsid w:val="004029E8"/>
    <w:rPr>
      <w:b/>
      <w:i/>
      <w:sz w:val="28"/>
    </w:rPr>
  </w:style>
  <w:style w:type="paragraph" w:styleId="Zkladntext">
    <w:name w:val="Body Text"/>
    <w:basedOn w:val="Normlny"/>
    <w:link w:val="ZkladntextChar"/>
    <w:rsid w:val="004029E8"/>
    <w:pPr>
      <w:jc w:val="both"/>
    </w:pPr>
    <w:rPr>
      <w:b/>
      <w:i/>
      <w:sz w:val="28"/>
      <w:szCs w:val="20"/>
      <w:lang w:eastAsia="sk-SK"/>
    </w:rPr>
  </w:style>
  <w:style w:type="character" w:customStyle="1" w:styleId="ZkladntextChar">
    <w:name w:val="Základný text Char"/>
    <w:link w:val="Zkladntext"/>
    <w:rsid w:val="004029E8"/>
    <w:rPr>
      <w:b/>
      <w:i/>
      <w:sz w:val="28"/>
    </w:rPr>
  </w:style>
  <w:style w:type="character" w:customStyle="1" w:styleId="Nadpis3Char">
    <w:name w:val="Nadpis 3 Char"/>
    <w:link w:val="Nadpis3"/>
    <w:uiPriority w:val="9"/>
    <w:semiHidden/>
    <w:rsid w:val="00237DBA"/>
    <w:rPr>
      <w:rFonts w:ascii="Calibri Light" w:eastAsia="Times New Roman" w:hAnsi="Calibri Light" w:cs="Times New Roman"/>
      <w:b/>
      <w:bCs/>
      <w:sz w:val="26"/>
      <w:szCs w:val="26"/>
      <w:lang w:eastAsia="cs-CZ"/>
    </w:rPr>
  </w:style>
  <w:style w:type="character" w:styleId="Nevyrieenzmienka">
    <w:name w:val="Unresolved Mention"/>
    <w:uiPriority w:val="99"/>
    <w:semiHidden/>
    <w:unhideWhenUsed/>
    <w:rsid w:val="00A252C2"/>
    <w:rPr>
      <w:color w:val="605E5C"/>
      <w:shd w:val="clear" w:color="auto" w:fill="E1DFDD"/>
    </w:rPr>
  </w:style>
  <w:style w:type="paragraph" w:styleId="Odsekzoznamu">
    <w:name w:val="List Paragraph"/>
    <w:basedOn w:val="Normlny"/>
    <w:uiPriority w:val="34"/>
    <w:qFormat/>
    <w:rsid w:val="000D1147"/>
    <w:pPr>
      <w:spacing w:after="160" w:line="259" w:lineRule="auto"/>
      <w:ind w:left="720"/>
      <w:contextualSpacing/>
    </w:pPr>
    <w:rPr>
      <w:rFonts w:ascii="Calibri" w:eastAsia="Calibri" w:hAnsi="Calibri"/>
      <w:kern w:val="2"/>
      <w:sz w:val="22"/>
      <w:szCs w:val="22"/>
      <w:lang w:eastAsia="en-US"/>
    </w:rPr>
  </w:style>
  <w:style w:type="paragraph" w:styleId="Textpoznmkypodiarou">
    <w:name w:val="footnote text"/>
    <w:basedOn w:val="Normlny"/>
    <w:link w:val="TextpoznmkypodiarouChar"/>
    <w:uiPriority w:val="99"/>
    <w:semiHidden/>
    <w:unhideWhenUsed/>
    <w:rsid w:val="00B71441"/>
    <w:rPr>
      <w:rFonts w:asciiTheme="minorHAnsi" w:eastAsiaTheme="minorHAnsi" w:hAnsiTheme="minorHAnsi" w:cstheme="minorBidi"/>
      <w:kern w:val="2"/>
      <w:sz w:val="20"/>
      <w:szCs w:val="20"/>
      <w:lang w:eastAsia="en-US"/>
      <w14:ligatures w14:val="standardContextual"/>
    </w:rPr>
  </w:style>
  <w:style w:type="character" w:customStyle="1" w:styleId="TextpoznmkypodiarouChar">
    <w:name w:val="Text poznámky pod čiarou Char"/>
    <w:basedOn w:val="Predvolenpsmoodseku"/>
    <w:link w:val="Textpoznmkypodiarou"/>
    <w:uiPriority w:val="99"/>
    <w:semiHidden/>
    <w:rsid w:val="00B71441"/>
    <w:rPr>
      <w:rFonts w:asciiTheme="minorHAnsi" w:eastAsiaTheme="minorHAnsi" w:hAnsiTheme="minorHAnsi" w:cstheme="minorBidi"/>
      <w:kern w:val="2"/>
      <w:lang w:eastAsia="en-US"/>
      <w14:ligatures w14:val="standardContextual"/>
    </w:rPr>
  </w:style>
  <w:style w:type="character" w:styleId="Odkaznapoznmkupodiarou">
    <w:name w:val="footnote reference"/>
    <w:basedOn w:val="Predvolenpsmoodseku"/>
    <w:uiPriority w:val="99"/>
    <w:semiHidden/>
    <w:unhideWhenUsed/>
    <w:rsid w:val="00B7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3377">
      <w:bodyDiv w:val="1"/>
      <w:marLeft w:val="0"/>
      <w:marRight w:val="0"/>
      <w:marTop w:val="0"/>
      <w:marBottom w:val="0"/>
      <w:divBdr>
        <w:top w:val="none" w:sz="0" w:space="0" w:color="auto"/>
        <w:left w:val="none" w:sz="0" w:space="0" w:color="auto"/>
        <w:bottom w:val="none" w:sz="0" w:space="0" w:color="auto"/>
        <w:right w:val="none" w:sz="0" w:space="0" w:color="auto"/>
      </w:divBdr>
    </w:div>
    <w:div w:id="973490272">
      <w:bodyDiv w:val="1"/>
      <w:marLeft w:val="0"/>
      <w:marRight w:val="0"/>
      <w:marTop w:val="0"/>
      <w:marBottom w:val="0"/>
      <w:divBdr>
        <w:top w:val="none" w:sz="0" w:space="0" w:color="auto"/>
        <w:left w:val="none" w:sz="0" w:space="0" w:color="auto"/>
        <w:bottom w:val="none" w:sz="0" w:space="0" w:color="auto"/>
        <w:right w:val="none" w:sz="0" w:space="0" w:color="auto"/>
      </w:divBdr>
    </w:div>
    <w:div w:id="1153108103">
      <w:bodyDiv w:val="1"/>
      <w:marLeft w:val="0"/>
      <w:marRight w:val="0"/>
      <w:marTop w:val="0"/>
      <w:marBottom w:val="0"/>
      <w:divBdr>
        <w:top w:val="none" w:sz="0" w:space="0" w:color="auto"/>
        <w:left w:val="none" w:sz="0" w:space="0" w:color="auto"/>
        <w:bottom w:val="none" w:sz="0" w:space="0" w:color="auto"/>
        <w:right w:val="none" w:sz="0" w:space="0" w:color="auto"/>
      </w:divBdr>
    </w:div>
    <w:div w:id="1835102131">
      <w:bodyDiv w:val="1"/>
      <w:marLeft w:val="0"/>
      <w:marRight w:val="0"/>
      <w:marTop w:val="0"/>
      <w:marBottom w:val="0"/>
      <w:divBdr>
        <w:top w:val="none" w:sz="0" w:space="0" w:color="auto"/>
        <w:left w:val="none" w:sz="0" w:space="0" w:color="auto"/>
        <w:bottom w:val="none" w:sz="0" w:space="0" w:color="auto"/>
        <w:right w:val="none" w:sz="0" w:space="0" w:color="auto"/>
      </w:divBdr>
    </w:div>
    <w:div w:id="1946423294">
      <w:bodyDiv w:val="1"/>
      <w:marLeft w:val="0"/>
      <w:marRight w:val="0"/>
      <w:marTop w:val="0"/>
      <w:marBottom w:val="0"/>
      <w:divBdr>
        <w:top w:val="none" w:sz="0" w:space="0" w:color="auto"/>
        <w:left w:val="none" w:sz="0" w:space="0" w:color="auto"/>
        <w:bottom w:val="none" w:sz="0" w:space="0" w:color="auto"/>
        <w:right w:val="none" w:sz="0" w:space="0" w:color="auto"/>
      </w:divBdr>
    </w:div>
    <w:div w:id="206229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eb224f-84a6-4df4-810e-39c4326bee9c">
      <Terms xmlns="http://schemas.microsoft.com/office/infopath/2007/PartnerControls"/>
    </lcf76f155ced4ddcb4097134ff3c332f>
    <TaxCatchAll xmlns="126070af-037f-402d-9b96-f337e71577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74ECF45A87204E9EB87ADB17947180" ma:contentTypeVersion="14" ma:contentTypeDescription="Umožňuje vytvoriť nový dokument." ma:contentTypeScope="" ma:versionID="2cd2569718204b6397cb877cb74b6bde">
  <xsd:schema xmlns:xsd="http://www.w3.org/2001/XMLSchema" xmlns:xs="http://www.w3.org/2001/XMLSchema" xmlns:p="http://schemas.microsoft.com/office/2006/metadata/properties" xmlns:ns2="126070af-037f-402d-9b96-f337e71577c3" xmlns:ns3="b5eb224f-84a6-4df4-810e-39c4326bee9c" targetNamespace="http://schemas.microsoft.com/office/2006/metadata/properties" ma:root="true" ma:fieldsID="ea2fb2a89825c650f0c53c2b944d581d" ns2:_="" ns3:_="">
    <xsd:import namespace="126070af-037f-402d-9b96-f337e71577c3"/>
    <xsd:import namespace="b5eb224f-84a6-4df4-810e-39c4326bee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70af-037f-402d-9b96-f337e71577c3"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0" nillable="true" ma:displayName="Stĺpec taxonomického záznamu všetkých položiek" ma:hidden="true" ma:list="{3d01671d-7020-4047-80af-70528efdfae2}" ma:internalName="TaxCatchAll" ma:showField="CatchAllData" ma:web="126070af-037f-402d-9b96-f337e71577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eb224f-84a6-4df4-810e-39c4326bee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62678bb9-16d1-4fe9-8a55-1ab42f0fa27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EF0E-20BF-437C-AD6F-6E86BAC024FB}">
  <ds:schemaRefs>
    <ds:schemaRef ds:uri="http://schemas.microsoft.com/office/2006/metadata/properties"/>
    <ds:schemaRef ds:uri="http://schemas.microsoft.com/office/infopath/2007/PartnerControls"/>
    <ds:schemaRef ds:uri="b5eb224f-84a6-4df4-810e-39c4326bee9c"/>
    <ds:schemaRef ds:uri="126070af-037f-402d-9b96-f337e71577c3"/>
  </ds:schemaRefs>
</ds:datastoreItem>
</file>

<file path=customXml/itemProps2.xml><?xml version="1.0" encoding="utf-8"?>
<ds:datastoreItem xmlns:ds="http://schemas.openxmlformats.org/officeDocument/2006/customXml" ds:itemID="{3B3C231B-F5A0-4B5C-80CB-AB2291E0A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0af-037f-402d-9b96-f337e71577c3"/>
    <ds:schemaRef ds:uri="b5eb224f-84a6-4df4-810e-39c4326b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302D6B-F6B4-469E-BDE4-7F8F759697F6}">
  <ds:schemaRefs>
    <ds:schemaRef ds:uri="http://schemas.microsoft.com/sharepoint/v3/contenttype/forms"/>
  </ds:schemaRefs>
</ds:datastoreItem>
</file>

<file path=customXml/itemProps4.xml><?xml version="1.0" encoding="utf-8"?>
<ds:datastoreItem xmlns:ds="http://schemas.openxmlformats.org/officeDocument/2006/customXml" ds:itemID="{B2250EAF-6E6B-4209-BA61-D166BA6C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635</Words>
  <Characters>3623</Characters>
  <Application>Microsoft Office Word</Application>
  <DocSecurity>0</DocSecurity>
  <Lines>30</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lpstr>
    </vt:vector>
  </TitlesOfParts>
  <Company>Akademia danovych poradcov</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MK</dc:creator>
  <cp:keywords/>
  <dc:description/>
  <cp:lastModifiedBy>Zuzana Moravcikova Kolenova</cp:lastModifiedBy>
  <cp:revision>14</cp:revision>
  <cp:lastPrinted>2022-03-01T14:25:00Z</cp:lastPrinted>
  <dcterms:created xsi:type="dcterms:W3CDTF">2024-12-05T19:36:00Z</dcterms:created>
  <dcterms:modified xsi:type="dcterms:W3CDTF">2024-12-05T19:50:00Z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0x0101006C74ECF45A87204E9EB87ADB17947180</vt:lpwstr>
  </property>
</Properties>
</file>