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D0B8" w14:textId="2441FA0A" w:rsidR="00EF7953" w:rsidRPr="001E2023" w:rsidRDefault="00541013" w:rsidP="003F317C">
      <w:pPr>
        <w:pStyle w:val="Pagedecouverture"/>
        <w:rPr>
          <w:noProof/>
        </w:rPr>
      </w:pPr>
      <w:r>
        <w:rPr>
          <w:noProof/>
        </w:rPr>
        <w:drawing>
          <wp:inline distT="0" distB="0" distL="0" distR="0" wp14:anchorId="0E142CA5" wp14:editId="60BF4188">
            <wp:extent cx="5783580" cy="4335780"/>
            <wp:effectExtent l="0" t="0" r="0" b="0"/>
            <wp:docPr id="1" name="Obrázok 1" descr="46FE385E-F439-401F-9137-7EE15B905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6FE385E-F439-401F-9137-7EE15B90559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580" cy="4335780"/>
                    </a:xfrm>
                    <a:prstGeom prst="rect">
                      <a:avLst/>
                    </a:prstGeom>
                    <a:noFill/>
                    <a:ln>
                      <a:noFill/>
                    </a:ln>
                  </pic:spPr>
                </pic:pic>
              </a:graphicData>
            </a:graphic>
          </wp:inline>
        </w:drawing>
      </w:r>
    </w:p>
    <w:p w14:paraId="54BFCC5A" w14:textId="77777777" w:rsidR="00EF7953" w:rsidRPr="001E2023" w:rsidRDefault="00EF7953" w:rsidP="00EF7953">
      <w:pPr>
        <w:rPr>
          <w:noProof/>
        </w:rPr>
        <w:sectPr w:rsidR="00EF7953" w:rsidRPr="001E2023" w:rsidSect="003F317C">
          <w:footerReference w:type="even" r:id="rId12"/>
          <w:footerReference w:type="default" r:id="rId13"/>
          <w:pgSz w:w="11907" w:h="16839"/>
          <w:pgMar w:top="1134" w:right="1417" w:bottom="1134" w:left="1417" w:header="709" w:footer="709" w:gutter="0"/>
          <w:pgNumType w:start="0"/>
          <w:cols w:space="720"/>
          <w:docGrid w:linePitch="360"/>
        </w:sectPr>
      </w:pPr>
    </w:p>
    <w:p w14:paraId="5D0F8AA9" w14:textId="77777777" w:rsidR="00EF7953" w:rsidRPr="001E2023" w:rsidRDefault="00EF7953">
      <w:pPr>
        <w:pStyle w:val="Exposdesmotifstitre"/>
        <w:rPr>
          <w:noProof/>
        </w:rPr>
      </w:pPr>
      <w:r w:rsidRPr="001E2023">
        <w:rPr>
          <w:noProof/>
        </w:rPr>
        <w:lastRenderedPageBreak/>
        <w:t>DÔVODOVÁ SPRÁVA</w:t>
      </w:r>
    </w:p>
    <w:p w14:paraId="384759CD" w14:textId="77777777" w:rsidR="004901E3" w:rsidRPr="001E2023" w:rsidRDefault="004901E3" w:rsidP="004901E3">
      <w:pPr>
        <w:pStyle w:val="ManualHeading1"/>
        <w:rPr>
          <w:noProof/>
        </w:rPr>
      </w:pPr>
      <w:r w:rsidRPr="001E2023">
        <w:rPr>
          <w:noProof/>
        </w:rPr>
        <w:t>1.</w:t>
      </w:r>
      <w:r w:rsidRPr="001E2023">
        <w:rPr>
          <w:noProof/>
        </w:rPr>
        <w:tab/>
        <w:t>KONTEXT NÁVRHU</w:t>
      </w:r>
    </w:p>
    <w:p w14:paraId="244CD03C" w14:textId="77777777" w:rsidR="004901E3" w:rsidRPr="001E2023" w:rsidRDefault="004901E3" w:rsidP="004901E3">
      <w:pPr>
        <w:pStyle w:val="ManualHeading2"/>
        <w:rPr>
          <w:rFonts w:eastAsia="Arial Unicode MS"/>
          <w:noProof/>
        </w:rPr>
      </w:pPr>
      <w:r w:rsidRPr="001E2023">
        <w:rPr>
          <w:noProof/>
        </w:rPr>
        <w:t>Dôvody</w:t>
      </w:r>
      <w:r w:rsidR="001E2023">
        <w:rPr>
          <w:noProof/>
        </w:rPr>
        <w:t xml:space="preserve"> a </w:t>
      </w:r>
      <w:r w:rsidRPr="001E2023">
        <w:rPr>
          <w:noProof/>
        </w:rPr>
        <w:t>ciele návrhu</w:t>
      </w:r>
    </w:p>
    <w:p w14:paraId="31DD6191" w14:textId="77777777" w:rsidR="001E2023" w:rsidRPr="001E2023" w:rsidRDefault="004901E3" w:rsidP="004901E3">
      <w:pPr>
        <w:pBdr>
          <w:top w:val="nil"/>
          <w:left w:val="nil"/>
          <w:bottom w:val="nil"/>
          <w:right w:val="nil"/>
          <w:between w:val="nil"/>
          <w:bar w:val="nil"/>
        </w:pBdr>
        <w:spacing w:before="0" w:after="240"/>
        <w:rPr>
          <w:noProof/>
          <w:spacing w:val="-8"/>
        </w:rPr>
      </w:pPr>
      <w:r w:rsidRPr="001E2023">
        <w:rPr>
          <w:noProof/>
          <w:spacing w:val="-8"/>
        </w:rPr>
        <w:t>Smernicou Rady (EÚ) 2022/2523 zo 14</w:t>
      </w:r>
      <w:r w:rsidR="001E2023" w:rsidRPr="001E2023">
        <w:rPr>
          <w:noProof/>
          <w:spacing w:val="-8"/>
        </w:rPr>
        <w:t>. decembra</w:t>
      </w:r>
      <w:r w:rsidRPr="001E2023">
        <w:rPr>
          <w:noProof/>
          <w:spacing w:val="-8"/>
        </w:rPr>
        <w:t xml:space="preserve"> 2022</w:t>
      </w:r>
      <w:r w:rsidR="001E2023" w:rsidRPr="001E2023">
        <w:rPr>
          <w:noProof/>
          <w:spacing w:val="-8"/>
        </w:rPr>
        <w:t xml:space="preserve"> o </w:t>
      </w:r>
      <w:r w:rsidRPr="001E2023">
        <w:rPr>
          <w:noProof/>
          <w:spacing w:val="-8"/>
        </w:rPr>
        <w:t>zabezpečení globálnej minimálnej úrovne zdanenia nadnárodných skupín podnikov</w:t>
      </w:r>
      <w:r w:rsidR="001E2023" w:rsidRPr="001E2023">
        <w:rPr>
          <w:noProof/>
          <w:spacing w:val="-8"/>
        </w:rPr>
        <w:t xml:space="preserve"> a </w:t>
      </w:r>
      <w:r w:rsidRPr="001E2023">
        <w:rPr>
          <w:noProof/>
          <w:spacing w:val="-8"/>
        </w:rPr>
        <w:t>veľkých vnútroštátnych skupín</w:t>
      </w:r>
      <w:r w:rsidR="001E2023" w:rsidRPr="001E2023">
        <w:rPr>
          <w:noProof/>
          <w:spacing w:val="-8"/>
        </w:rPr>
        <w:t xml:space="preserve"> v </w:t>
      </w:r>
      <w:r w:rsidRPr="001E2023">
        <w:rPr>
          <w:noProof/>
          <w:spacing w:val="-8"/>
        </w:rPr>
        <w:t>Únii</w:t>
      </w:r>
      <w:r w:rsidRPr="001E2023">
        <w:rPr>
          <w:rStyle w:val="Odkaznapoznmkupodiarou"/>
          <w:rFonts w:eastAsia="Arial Unicode MS"/>
          <w:noProof/>
          <w:spacing w:val="-8"/>
        </w:rPr>
        <w:footnoteReference w:id="2"/>
      </w:r>
      <w:r w:rsidRPr="001E2023">
        <w:rPr>
          <w:noProof/>
          <w:spacing w:val="-8"/>
        </w:rPr>
        <w:t xml:space="preserve"> (smernica</w:t>
      </w:r>
      <w:r w:rsidR="001E2023" w:rsidRPr="001E2023">
        <w:rPr>
          <w:noProof/>
          <w:spacing w:val="-8"/>
        </w:rPr>
        <w:t xml:space="preserve"> o </w:t>
      </w:r>
      <w:r w:rsidRPr="001E2023">
        <w:rPr>
          <w:noProof/>
          <w:spacing w:val="-8"/>
        </w:rPr>
        <w:t>druhom pilieri) sa</w:t>
      </w:r>
      <w:r w:rsidR="001E2023" w:rsidRPr="001E2023">
        <w:rPr>
          <w:noProof/>
          <w:spacing w:val="-8"/>
        </w:rPr>
        <w:t xml:space="preserve"> v </w:t>
      </w:r>
      <w:r w:rsidRPr="001E2023">
        <w:rPr>
          <w:noProof/>
          <w:spacing w:val="-8"/>
        </w:rPr>
        <w:t>rámci EÚ zaviedla dohoda, ktorú 8</w:t>
      </w:r>
      <w:r w:rsidR="001E2023" w:rsidRPr="001E2023">
        <w:rPr>
          <w:noProof/>
          <w:spacing w:val="-8"/>
        </w:rPr>
        <w:t>. decembra</w:t>
      </w:r>
      <w:r w:rsidRPr="001E2023">
        <w:rPr>
          <w:noProof/>
          <w:spacing w:val="-8"/>
        </w:rPr>
        <w:t xml:space="preserve"> 2021 dosiahol inkluzívny rámec OECD/G20 pre boj proti narúšaniu základu dane</w:t>
      </w:r>
      <w:r w:rsidR="001E2023" w:rsidRPr="001E2023">
        <w:rPr>
          <w:noProof/>
          <w:spacing w:val="-8"/>
        </w:rPr>
        <w:t xml:space="preserve"> a </w:t>
      </w:r>
      <w:r w:rsidRPr="001E2023">
        <w:rPr>
          <w:noProof/>
          <w:spacing w:val="-8"/>
        </w:rPr>
        <w:t>presunu ziskov (BEPS). Smernica takisto úzko nadväzuje na globálne modelové pravidlá proti narúšaniu základu dane (modelové pravidlá GloBE), na ktorých sa dohodol inkluzívny rámec OECD/G20</w:t>
      </w:r>
      <w:r w:rsidR="001E2023" w:rsidRPr="001E2023">
        <w:rPr>
          <w:noProof/>
          <w:spacing w:val="-8"/>
        </w:rPr>
        <w:t xml:space="preserve"> a </w:t>
      </w:r>
      <w:r w:rsidRPr="001E2023">
        <w:rPr>
          <w:noProof/>
          <w:spacing w:val="-8"/>
        </w:rPr>
        <w:t>ktoré boli zverejnené 20</w:t>
      </w:r>
      <w:r w:rsidR="001E2023" w:rsidRPr="001E2023">
        <w:rPr>
          <w:noProof/>
          <w:spacing w:val="-8"/>
        </w:rPr>
        <w:t>. decembra</w:t>
      </w:r>
      <w:r w:rsidRPr="001E2023">
        <w:rPr>
          <w:noProof/>
          <w:spacing w:val="-8"/>
        </w:rPr>
        <w:t xml:space="preserve"> 2021</w:t>
      </w:r>
      <w:r w:rsidR="001E2023" w:rsidRPr="001E2023">
        <w:rPr>
          <w:noProof/>
          <w:spacing w:val="-8"/>
        </w:rPr>
        <w:t>.</w:t>
      </w:r>
    </w:p>
    <w:p w14:paraId="14F4D45D"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Cieľom smernice</w:t>
      </w:r>
      <w:r w:rsidR="001E2023">
        <w:rPr>
          <w:noProof/>
        </w:rPr>
        <w:t xml:space="preserve"> o </w:t>
      </w:r>
      <w:r w:rsidRPr="001E2023">
        <w:rPr>
          <w:noProof/>
        </w:rPr>
        <w:t>druhom pilieri je zabezpečiť, aby veľké nadnárodné skupiny podnikov platili minimálnu úroveň dane</w:t>
      </w:r>
      <w:r w:rsidR="001E2023">
        <w:rPr>
          <w:noProof/>
        </w:rPr>
        <w:t xml:space="preserve"> z </w:t>
      </w:r>
      <w:r w:rsidRPr="001E2023">
        <w:rPr>
          <w:noProof/>
        </w:rPr>
        <w:t>príjmu</w:t>
      </w:r>
      <w:r w:rsidR="001E2023">
        <w:rPr>
          <w:noProof/>
        </w:rPr>
        <w:t xml:space="preserve"> v </w:t>
      </w:r>
      <w:r w:rsidRPr="001E2023">
        <w:rPr>
          <w:noProof/>
        </w:rPr>
        <w:t>každej jurisdikcii,</w:t>
      </w:r>
      <w:r w:rsidR="001E2023">
        <w:rPr>
          <w:noProof/>
        </w:rPr>
        <w:t xml:space="preserve"> v </w:t>
      </w:r>
      <w:r w:rsidRPr="001E2023">
        <w:rPr>
          <w:noProof/>
        </w:rPr>
        <w:t>ktorej pôsobia. Subjekty, na ktoré sa vzťahujú tieto pravidlá, musia vypočítať svoju efektívnu sadzbu dane pre každú jurisdikciu,</w:t>
      </w:r>
      <w:r w:rsidR="001E2023">
        <w:rPr>
          <w:noProof/>
        </w:rPr>
        <w:t xml:space="preserve"> v </w:t>
      </w:r>
      <w:r w:rsidRPr="001E2023">
        <w:rPr>
          <w:noProof/>
        </w:rPr>
        <w:t>ktorej pôsobia,</w:t>
      </w:r>
      <w:r w:rsidR="001E2023">
        <w:rPr>
          <w:noProof/>
        </w:rPr>
        <w:t xml:space="preserve"> a </w:t>
      </w:r>
      <w:r w:rsidRPr="001E2023">
        <w:rPr>
          <w:noProof/>
        </w:rPr>
        <w:t>zaplatiť dorovnávaciu daň vo výške rozdielu medzi ich efektívnou sadzbou dane pre každú jurisdikciu</w:t>
      </w:r>
      <w:r w:rsidR="001E2023">
        <w:rPr>
          <w:noProof/>
        </w:rPr>
        <w:t xml:space="preserve"> a </w:t>
      </w:r>
      <w:r w:rsidRPr="001E2023">
        <w:rPr>
          <w:noProof/>
        </w:rPr>
        <w:t>minimálnou sadzbou dane 15</w:t>
      </w:r>
      <w:r w:rsidR="001E2023">
        <w:rPr>
          <w:noProof/>
        </w:rPr>
        <w:t> %</w:t>
      </w:r>
      <w:r w:rsidRPr="001E2023">
        <w:rPr>
          <w:noProof/>
        </w:rPr>
        <w:t>. Akákoľvek výsledná dorovnávacia daň sa vo všeobecnosti účtuje</w:t>
      </w:r>
      <w:r w:rsidR="001E2023">
        <w:rPr>
          <w:noProof/>
        </w:rPr>
        <w:t xml:space="preserve"> v </w:t>
      </w:r>
      <w:r w:rsidRPr="001E2023">
        <w:rPr>
          <w:noProof/>
        </w:rPr>
        <w:t>jurisdikcii hlavného materského subjektu nadnárodného podniku</w:t>
      </w:r>
      <w:r w:rsidR="001E2023">
        <w:rPr>
          <w:noProof/>
        </w:rPr>
        <w:t xml:space="preserve"> V </w:t>
      </w:r>
      <w:r w:rsidRPr="001E2023">
        <w:rPr>
          <w:noProof/>
        </w:rPr>
        <w:t>pravidlách sa zohľadňuje aj možnosť, že jurisdikcie zavedú vlastnú kvalifikovanú vnútroštátnu dorovnávaciu daň, čím sa zachová primárne právo jurisdikcie na zdanenie vlastných príjmov. Touto kvalifikovanou vnútroštátnou dorovnávacou daňou sa odstráni akákoľvek daňová povinnosť pri dorovnávacej dani, ak sa považuje za bezpečný prístav kvalifikovanej vnútroštátnej dorovnávacej dani.</w:t>
      </w:r>
    </w:p>
    <w:p w14:paraId="0F83C1B7"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V článku 44 smernice</w:t>
      </w:r>
      <w:r w:rsidR="001E2023">
        <w:rPr>
          <w:noProof/>
        </w:rPr>
        <w:t xml:space="preserve"> o </w:t>
      </w:r>
      <w:r w:rsidRPr="001E2023">
        <w:rPr>
          <w:noProof/>
        </w:rPr>
        <w:t>druhom pilieri sa stanovujú požiadavky na podávanie informácií</w:t>
      </w:r>
      <w:r w:rsidR="001E2023">
        <w:rPr>
          <w:noProof/>
        </w:rPr>
        <w:t xml:space="preserve"> a </w:t>
      </w:r>
      <w:r w:rsidRPr="001E2023">
        <w:rPr>
          <w:noProof/>
        </w:rPr>
        <w:t>oznámení, ktoré musia subjekty patriace do rozsahu pôsobnosti smernice spĺňať. Ide</w:t>
      </w:r>
      <w:r w:rsidR="001E2023">
        <w:rPr>
          <w:noProof/>
        </w:rPr>
        <w:t xml:space="preserve"> o </w:t>
      </w:r>
      <w:r w:rsidRPr="001E2023">
        <w:rPr>
          <w:noProof/>
        </w:rPr>
        <w:t>oznámenie</w:t>
      </w:r>
      <w:r w:rsidR="001E2023">
        <w:rPr>
          <w:noProof/>
        </w:rPr>
        <w:t xml:space="preserve"> s </w:t>
      </w:r>
      <w:r w:rsidRPr="001E2023">
        <w:rPr>
          <w:noProof/>
        </w:rPr>
        <w:t>informáciami na určenie dorovnávacej dane, ktoré sa musí podať prostredníctvom štandardného vzoru</w:t>
      </w:r>
      <w:r w:rsidR="001E2023">
        <w:rPr>
          <w:noProof/>
        </w:rPr>
        <w:t xml:space="preserve"> a </w:t>
      </w:r>
      <w:r w:rsidRPr="001E2023">
        <w:rPr>
          <w:noProof/>
        </w:rPr>
        <w:t>ktoré obsahuje určité špecifikované údajové body. Oznámenie</w:t>
      </w:r>
      <w:r w:rsidR="001E2023">
        <w:rPr>
          <w:noProof/>
        </w:rPr>
        <w:t xml:space="preserve"> s </w:t>
      </w:r>
      <w:r w:rsidRPr="001E2023">
        <w:rPr>
          <w:noProof/>
        </w:rPr>
        <w:t>informáciami na určenie dorovnávacej dane je nástroj na posúdenie rizika: obsahuje informácie, ktoré daňová správa potrebuje na primerané posúdenie rizika</w:t>
      </w:r>
      <w:r w:rsidR="001E2023">
        <w:rPr>
          <w:noProof/>
        </w:rPr>
        <w:t xml:space="preserve"> a </w:t>
      </w:r>
      <w:r w:rsidRPr="001E2023">
        <w:rPr>
          <w:noProof/>
        </w:rPr>
        <w:t>správne zhodnotenie daňovej povinnosti subjektu</w:t>
      </w:r>
      <w:r w:rsidR="001E2023" w:rsidRPr="001E2023">
        <w:rPr>
          <w:noProof/>
        </w:rPr>
        <w:t>.</w:t>
      </w:r>
    </w:p>
    <w:p w14:paraId="4CAB395C" w14:textId="77777777" w:rsidR="001E2023" w:rsidRPr="001E2023" w:rsidRDefault="004901E3" w:rsidP="004901E3">
      <w:pPr>
        <w:pBdr>
          <w:top w:val="nil"/>
          <w:left w:val="nil"/>
          <w:bottom w:val="nil"/>
          <w:right w:val="nil"/>
          <w:between w:val="nil"/>
          <w:bar w:val="nil"/>
        </w:pBdr>
        <w:spacing w:before="0" w:after="240"/>
        <w:rPr>
          <w:noProof/>
          <w:spacing w:val="-4"/>
        </w:rPr>
      </w:pPr>
      <w:r w:rsidRPr="001E2023">
        <w:rPr>
          <w:noProof/>
          <w:spacing w:val="-4"/>
        </w:rPr>
        <w:t>Základný scenár podávania informácií</w:t>
      </w:r>
      <w:r w:rsidR="001E2023" w:rsidRPr="001E2023">
        <w:rPr>
          <w:noProof/>
          <w:spacing w:val="-4"/>
        </w:rPr>
        <w:t xml:space="preserve"> a </w:t>
      </w:r>
      <w:r w:rsidRPr="001E2023">
        <w:rPr>
          <w:noProof/>
          <w:spacing w:val="-4"/>
        </w:rPr>
        <w:t>oznámení podľa článku 44 ods. 2 smernice</w:t>
      </w:r>
      <w:r w:rsidR="001E2023" w:rsidRPr="001E2023">
        <w:rPr>
          <w:noProof/>
          <w:spacing w:val="-4"/>
        </w:rPr>
        <w:t xml:space="preserve"> o </w:t>
      </w:r>
      <w:r w:rsidRPr="001E2023">
        <w:rPr>
          <w:noProof/>
          <w:spacing w:val="-4"/>
        </w:rPr>
        <w:t>druhom pilieri je taký, že každý základný subjekt musí podať oznámenie</w:t>
      </w:r>
      <w:r w:rsidR="001E2023" w:rsidRPr="001E2023">
        <w:rPr>
          <w:noProof/>
          <w:spacing w:val="-4"/>
        </w:rPr>
        <w:t xml:space="preserve"> s </w:t>
      </w:r>
      <w:r w:rsidRPr="001E2023">
        <w:rPr>
          <w:noProof/>
          <w:spacing w:val="-4"/>
        </w:rPr>
        <w:t>informáciami na určenie dorovnávacej dane</w:t>
      </w:r>
      <w:r w:rsidR="001E2023" w:rsidRPr="001E2023">
        <w:rPr>
          <w:noProof/>
          <w:spacing w:val="-4"/>
        </w:rPr>
        <w:t xml:space="preserve"> v </w:t>
      </w:r>
      <w:r w:rsidRPr="001E2023">
        <w:rPr>
          <w:noProof/>
          <w:spacing w:val="-4"/>
        </w:rPr>
        <w:t>členskom štáte,</w:t>
      </w:r>
      <w:r w:rsidR="001E2023" w:rsidRPr="001E2023">
        <w:rPr>
          <w:noProof/>
          <w:spacing w:val="-4"/>
        </w:rPr>
        <w:t xml:space="preserve"> v </w:t>
      </w:r>
      <w:r w:rsidRPr="001E2023">
        <w:rPr>
          <w:noProof/>
          <w:spacing w:val="-4"/>
        </w:rPr>
        <w:t>ktorom sa nachádza. To znamená, že každý základný subjekt, ktorý je súčasťou nadnárodného podniku, by svojej daňovej správe musel podávať veľmi rozsiahle oznámenia, ktoré by obsahovali aj všeobecné informácie od nadnárodného podniku, do ktorého patrí.</w:t>
      </w:r>
      <w:r w:rsidR="001E2023" w:rsidRPr="001E2023">
        <w:rPr>
          <w:noProof/>
          <w:spacing w:val="-4"/>
        </w:rPr>
        <w:t xml:space="preserve"> V </w:t>
      </w:r>
      <w:r w:rsidRPr="001E2023">
        <w:rPr>
          <w:noProof/>
          <w:spacing w:val="-4"/>
        </w:rPr>
        <w:t>článku 44 ods. 3 sa však stanovuje výnimka</w:t>
      </w:r>
      <w:r w:rsidR="001E2023" w:rsidRPr="001E2023">
        <w:rPr>
          <w:noProof/>
          <w:spacing w:val="-4"/>
        </w:rPr>
        <w:t xml:space="preserve"> z </w:t>
      </w:r>
      <w:r w:rsidRPr="001E2023">
        <w:rPr>
          <w:noProof/>
          <w:spacing w:val="-4"/>
        </w:rPr>
        <w:t>tejto požiadavky na miestne podávanie informácií</w:t>
      </w:r>
      <w:r w:rsidR="001E2023" w:rsidRPr="001E2023">
        <w:rPr>
          <w:noProof/>
          <w:spacing w:val="-4"/>
        </w:rPr>
        <w:t xml:space="preserve"> a </w:t>
      </w:r>
      <w:r w:rsidRPr="001E2023">
        <w:rPr>
          <w:noProof/>
          <w:spacing w:val="-4"/>
        </w:rPr>
        <w:t>oznámení, pokiaľ hlavný materský subjekt (alebo určený podávajúci subjekt) podáva toto oznámenie</w:t>
      </w:r>
      <w:r w:rsidR="001E2023" w:rsidRPr="001E2023">
        <w:rPr>
          <w:noProof/>
          <w:spacing w:val="-4"/>
        </w:rPr>
        <w:t xml:space="preserve"> s </w:t>
      </w:r>
      <w:r w:rsidRPr="001E2023">
        <w:rPr>
          <w:noProof/>
          <w:spacing w:val="-4"/>
        </w:rPr>
        <w:t>informáciami na určenie dorovnávacej dane</w:t>
      </w:r>
      <w:r w:rsidR="001E2023" w:rsidRPr="001E2023">
        <w:rPr>
          <w:noProof/>
          <w:spacing w:val="-4"/>
        </w:rPr>
        <w:t xml:space="preserve"> v </w:t>
      </w:r>
      <w:r w:rsidRPr="001E2023">
        <w:rPr>
          <w:noProof/>
          <w:spacing w:val="-4"/>
        </w:rPr>
        <w:t>mene celého nadnárodného podniku. Jedinou podmienkou je, že medzi zúčastnenými jurisdikciami (t. j.</w:t>
      </w:r>
      <w:r w:rsidR="001E2023">
        <w:rPr>
          <w:noProof/>
          <w:spacing w:val="-4"/>
        </w:rPr>
        <w:t> </w:t>
      </w:r>
      <w:r w:rsidRPr="001E2023">
        <w:rPr>
          <w:noProof/>
          <w:spacing w:val="-4"/>
        </w:rPr>
        <w:t>jurisdikciou hlavného materského subjektu alebo určeného podávajúceho subjektu</w:t>
      </w:r>
      <w:r w:rsidR="001E2023" w:rsidRPr="001E2023">
        <w:rPr>
          <w:noProof/>
          <w:spacing w:val="-4"/>
        </w:rPr>
        <w:t xml:space="preserve"> a </w:t>
      </w:r>
      <w:r w:rsidRPr="001E2023">
        <w:rPr>
          <w:noProof/>
          <w:spacing w:val="-4"/>
        </w:rPr>
        <w:t>jurisdikciami ostatných základných subjektov</w:t>
      </w:r>
      <w:r w:rsidR="001E2023" w:rsidRPr="001E2023">
        <w:rPr>
          <w:noProof/>
          <w:spacing w:val="-4"/>
        </w:rPr>
        <w:t xml:space="preserve"> v </w:t>
      </w:r>
      <w:r w:rsidRPr="001E2023">
        <w:rPr>
          <w:noProof/>
          <w:spacing w:val="-4"/>
        </w:rPr>
        <w:t>rámci danej skupiny) musia existovať dohody</w:t>
      </w:r>
      <w:r w:rsidR="001E2023" w:rsidRPr="001E2023">
        <w:rPr>
          <w:noProof/>
          <w:spacing w:val="-4"/>
        </w:rPr>
        <w:t xml:space="preserve"> o </w:t>
      </w:r>
      <w:r w:rsidRPr="001E2023">
        <w:rPr>
          <w:noProof/>
          <w:spacing w:val="-4"/>
        </w:rPr>
        <w:t>výmene informácií medzi daňovými správami.</w:t>
      </w:r>
      <w:r w:rsidR="001E2023" w:rsidRPr="001E2023">
        <w:rPr>
          <w:noProof/>
          <w:spacing w:val="-4"/>
        </w:rPr>
        <w:t xml:space="preserve"> V </w:t>
      </w:r>
      <w:r w:rsidRPr="001E2023">
        <w:rPr>
          <w:noProof/>
          <w:spacing w:val="-4"/>
        </w:rPr>
        <w:t>rámci týchto dohôd sa oznámenia podávajú len raz za celý nadnárodný podnik</w:t>
      </w:r>
      <w:r w:rsidR="001E2023" w:rsidRPr="001E2023">
        <w:rPr>
          <w:noProof/>
          <w:spacing w:val="-4"/>
        </w:rPr>
        <w:t xml:space="preserve"> a </w:t>
      </w:r>
      <w:r w:rsidRPr="001E2023">
        <w:rPr>
          <w:noProof/>
          <w:spacing w:val="-4"/>
        </w:rPr>
        <w:t>základné subjekty sú potom oslobodené od povinnosti podávať oznámenia na miestnej úrovni. Očakáva sa, že všeobecné podávanie oznámení subjektom určeným pre celú skupinu bude hlavným prístupom, ktorý budú nadnárodné podniky uplatňovať pri podávaní informácií požadovaných podľa smernice</w:t>
      </w:r>
      <w:r w:rsidR="001E2023" w:rsidRPr="001E2023">
        <w:rPr>
          <w:noProof/>
          <w:spacing w:val="-4"/>
        </w:rPr>
        <w:t xml:space="preserve"> o </w:t>
      </w:r>
      <w:r w:rsidRPr="001E2023">
        <w:rPr>
          <w:noProof/>
          <w:spacing w:val="-4"/>
        </w:rPr>
        <w:t>druhom pilieri</w:t>
      </w:r>
      <w:r w:rsidR="001E2023" w:rsidRPr="001E2023">
        <w:rPr>
          <w:noProof/>
          <w:spacing w:val="-4"/>
        </w:rPr>
        <w:t>.</w:t>
      </w:r>
    </w:p>
    <w:p w14:paraId="5FC45AE2" w14:textId="77777777" w:rsidR="001E2023" w:rsidRPr="001E2023" w:rsidRDefault="004901E3" w:rsidP="004901E3">
      <w:pPr>
        <w:pBdr>
          <w:top w:val="nil"/>
          <w:left w:val="nil"/>
          <w:bottom w:val="nil"/>
          <w:right w:val="nil"/>
          <w:between w:val="nil"/>
          <w:bar w:val="nil"/>
        </w:pBdr>
        <w:spacing w:before="0" w:after="240"/>
        <w:rPr>
          <w:noProof/>
          <w:spacing w:val="-4"/>
        </w:rPr>
      </w:pPr>
      <w:r w:rsidRPr="001E2023">
        <w:rPr>
          <w:noProof/>
          <w:spacing w:val="-4"/>
        </w:rPr>
        <w:lastRenderedPageBreak/>
        <w:t>OECD vypracovala štandardný vzor (oznámenie</w:t>
      </w:r>
      <w:r w:rsidR="001E2023" w:rsidRPr="001E2023">
        <w:rPr>
          <w:noProof/>
          <w:spacing w:val="-4"/>
        </w:rPr>
        <w:t xml:space="preserve"> s </w:t>
      </w:r>
      <w:r w:rsidRPr="001E2023">
        <w:rPr>
          <w:noProof/>
          <w:spacing w:val="-4"/>
        </w:rPr>
        <w:t>informáciami na určenie pravidiel GloBE alebo GIR)</w:t>
      </w:r>
      <w:r w:rsidRPr="001E2023">
        <w:rPr>
          <w:rStyle w:val="Odkaznapoznmkupodiarou"/>
          <w:noProof/>
          <w:spacing w:val="-4"/>
        </w:rPr>
        <w:footnoteReference w:id="3"/>
      </w:r>
      <w:r w:rsidRPr="001E2023">
        <w:rPr>
          <w:noProof/>
          <w:spacing w:val="-4"/>
        </w:rPr>
        <w:t>, ktorý majú subjekty používať na plnenie svojich povinností týkajúcich sa podávania informácií</w:t>
      </w:r>
      <w:r w:rsidR="001E2023" w:rsidRPr="001E2023">
        <w:rPr>
          <w:noProof/>
          <w:spacing w:val="-4"/>
        </w:rPr>
        <w:t xml:space="preserve"> a </w:t>
      </w:r>
      <w:r w:rsidRPr="001E2023">
        <w:rPr>
          <w:noProof/>
          <w:spacing w:val="-4"/>
        </w:rPr>
        <w:t>oznámení. Obsahuje dátové body, ktoré sa majú vymieňať,</w:t>
      </w:r>
      <w:r w:rsidR="001E2023" w:rsidRPr="001E2023">
        <w:rPr>
          <w:noProof/>
          <w:spacing w:val="-4"/>
        </w:rPr>
        <w:t xml:space="preserve"> a </w:t>
      </w:r>
      <w:r w:rsidRPr="001E2023">
        <w:rPr>
          <w:noProof/>
          <w:spacing w:val="-4"/>
        </w:rPr>
        <w:t>vysvetľujúce usmernenia</w:t>
      </w:r>
      <w:r w:rsidR="001E2023" w:rsidRPr="001E2023">
        <w:rPr>
          <w:noProof/>
          <w:spacing w:val="-4"/>
        </w:rPr>
        <w:t xml:space="preserve"> k </w:t>
      </w:r>
      <w:r w:rsidRPr="001E2023">
        <w:rPr>
          <w:noProof/>
          <w:spacing w:val="-4"/>
        </w:rPr>
        <w:t>ich používaniu</w:t>
      </w:r>
      <w:r w:rsidR="001E2023" w:rsidRPr="001E2023">
        <w:rPr>
          <w:noProof/>
          <w:spacing w:val="-4"/>
        </w:rPr>
        <w:t xml:space="preserve"> a </w:t>
      </w:r>
      <w:r w:rsidRPr="001E2023">
        <w:rPr>
          <w:noProof/>
          <w:spacing w:val="-4"/>
        </w:rPr>
        <w:t>zabezpečuje rovnováhu medzi poskytovaním údajov daňovým správam, ktoré potrebujú na vykonanie primeraných kontrol dodržiavania predpisov,</w:t>
      </w:r>
      <w:r w:rsidR="001E2023" w:rsidRPr="001E2023">
        <w:rPr>
          <w:noProof/>
          <w:spacing w:val="-4"/>
        </w:rPr>
        <w:t xml:space="preserve"> a </w:t>
      </w:r>
      <w:r w:rsidRPr="001E2023">
        <w:rPr>
          <w:noProof/>
          <w:spacing w:val="-4"/>
        </w:rPr>
        <w:t>obmedzením nákladov nadnárodných podnikov na dodržiavanie predpisov. Týmto návrhom sa GIR transponuje do právnych predpisov EÚ tým, že sa stanovuje za oznámenie</w:t>
      </w:r>
      <w:r w:rsidR="001E2023" w:rsidRPr="001E2023">
        <w:rPr>
          <w:noProof/>
          <w:spacing w:val="-4"/>
        </w:rPr>
        <w:t xml:space="preserve"> s </w:t>
      </w:r>
      <w:r w:rsidRPr="001E2023">
        <w:rPr>
          <w:noProof/>
          <w:spacing w:val="-4"/>
        </w:rPr>
        <w:t>informáciami na určenie dorovnávacej dane, ktoré sa uvádza</w:t>
      </w:r>
      <w:r w:rsidR="001E2023" w:rsidRPr="001E2023">
        <w:rPr>
          <w:noProof/>
          <w:spacing w:val="-4"/>
        </w:rPr>
        <w:t xml:space="preserve"> v </w:t>
      </w:r>
      <w:r w:rsidRPr="001E2023">
        <w:rPr>
          <w:noProof/>
          <w:spacing w:val="-4"/>
        </w:rPr>
        <w:t>článku 44 smernice</w:t>
      </w:r>
      <w:r w:rsidR="001E2023" w:rsidRPr="001E2023">
        <w:rPr>
          <w:noProof/>
          <w:spacing w:val="-4"/>
        </w:rPr>
        <w:t xml:space="preserve"> o </w:t>
      </w:r>
      <w:r w:rsidRPr="001E2023">
        <w:rPr>
          <w:noProof/>
          <w:spacing w:val="-4"/>
        </w:rPr>
        <w:t>druhom pilieri</w:t>
      </w:r>
      <w:r w:rsidR="001E2023" w:rsidRPr="001E2023">
        <w:rPr>
          <w:noProof/>
          <w:spacing w:val="-4"/>
        </w:rPr>
        <w:t>.</w:t>
      </w:r>
    </w:p>
    <w:p w14:paraId="0ADF6F7D" w14:textId="77777777" w:rsidR="004901E3" w:rsidRPr="001E2023" w:rsidRDefault="001F1A19" w:rsidP="004901E3">
      <w:pPr>
        <w:pBdr>
          <w:top w:val="nil"/>
          <w:left w:val="nil"/>
          <w:bottom w:val="nil"/>
          <w:right w:val="nil"/>
          <w:between w:val="nil"/>
          <w:bar w:val="nil"/>
        </w:pBdr>
        <w:spacing w:before="0" w:after="240"/>
        <w:rPr>
          <w:noProof/>
        </w:rPr>
      </w:pPr>
      <w:r w:rsidRPr="001E2023">
        <w:rPr>
          <w:noProof/>
        </w:rPr>
        <w:t>V tomto návrhu sa takisto stanovuje rámec na uľahčenie výmeny oznámenia</w:t>
      </w:r>
      <w:r w:rsidR="001E2023">
        <w:rPr>
          <w:noProof/>
        </w:rPr>
        <w:t xml:space="preserve"> s </w:t>
      </w:r>
      <w:r w:rsidRPr="001E2023">
        <w:rPr>
          <w:noProof/>
        </w:rPr>
        <w:t>informáciami na určenie dorovnávacej dane medzi členskými štátmi</w:t>
      </w:r>
      <w:r w:rsidR="001E2023">
        <w:rPr>
          <w:noProof/>
        </w:rPr>
        <w:t xml:space="preserve"> a </w:t>
      </w:r>
      <w:r w:rsidRPr="001E2023">
        <w:rPr>
          <w:noProof/>
        </w:rPr>
        <w:t>na umožnenie prechodu nadnárodných podnikov</w:t>
      </w:r>
      <w:r w:rsidR="001E2023">
        <w:rPr>
          <w:noProof/>
        </w:rPr>
        <w:t xml:space="preserve"> z </w:t>
      </w:r>
      <w:r w:rsidRPr="001E2023">
        <w:rPr>
          <w:noProof/>
        </w:rPr>
        <w:t>miestneho na centrálne podávanie informácií</w:t>
      </w:r>
      <w:r w:rsidR="001E2023">
        <w:rPr>
          <w:noProof/>
        </w:rPr>
        <w:t xml:space="preserve"> a </w:t>
      </w:r>
      <w:r w:rsidRPr="001E2023">
        <w:rPr>
          <w:noProof/>
        </w:rPr>
        <w:t>oznámení (t. j. podávanie prostredníctvom hlavného materského subjektu alebo určeného podávajúceho subjektu namiesto toho, aby podávanie vykonával každý základný subjekt). Tento rámec zahŕňa „prístup šírenia“</w:t>
      </w:r>
      <w:r w:rsidR="001E2023">
        <w:rPr>
          <w:noProof/>
        </w:rPr>
        <w:t xml:space="preserve"> s </w:t>
      </w:r>
      <w:r w:rsidRPr="001E2023">
        <w:rPr>
          <w:noProof/>
        </w:rPr>
        <w:t>cieľom zabezpečiť, aby všetky príslušné jurisdikcie dostali potrebné informácie na základe svojho postavenia</w:t>
      </w:r>
      <w:r w:rsidR="001E2023">
        <w:rPr>
          <w:noProof/>
        </w:rPr>
        <w:t xml:space="preserve"> v </w:t>
      </w:r>
      <w:r w:rsidRPr="001E2023">
        <w:rPr>
          <w:noProof/>
        </w:rPr>
        <w:t>nadnárodnom podniku</w:t>
      </w:r>
      <w:r w:rsidR="001E2023">
        <w:rPr>
          <w:noProof/>
        </w:rPr>
        <w:t xml:space="preserve"> v </w:t>
      </w:r>
      <w:r w:rsidRPr="001E2023">
        <w:rPr>
          <w:noProof/>
        </w:rPr>
        <w:t>súlade</w:t>
      </w:r>
      <w:r w:rsidR="001E2023">
        <w:rPr>
          <w:noProof/>
        </w:rPr>
        <w:t xml:space="preserve"> s </w:t>
      </w:r>
      <w:r w:rsidRPr="001E2023">
        <w:rPr>
          <w:noProof/>
        </w:rPr>
        <w:t>rámcom OECD.</w:t>
      </w:r>
    </w:p>
    <w:p w14:paraId="38C4CAA7"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Na umožnenie výmeny informácií</w:t>
      </w:r>
      <w:r w:rsidR="001E2023">
        <w:rPr>
          <w:noProof/>
        </w:rPr>
        <w:t xml:space="preserve"> s </w:t>
      </w:r>
      <w:r w:rsidRPr="001E2023">
        <w:rPr>
          <w:noProof/>
        </w:rPr>
        <w:t>jurisdikciami tretích krajín budú musieť členské štáty</w:t>
      </w:r>
      <w:r w:rsidR="001E2023">
        <w:rPr>
          <w:noProof/>
        </w:rPr>
        <w:t xml:space="preserve"> s </w:t>
      </w:r>
      <w:r w:rsidRPr="001E2023">
        <w:rPr>
          <w:noProof/>
        </w:rPr>
        <w:t>týmito jurisdikciami podpísať príslušné medzinárodné dohody. Aby sa zabezpečila bezproblémová výmena informácií</w:t>
      </w:r>
      <w:r w:rsidR="001E2023">
        <w:rPr>
          <w:noProof/>
        </w:rPr>
        <w:t xml:space="preserve"> a </w:t>
      </w:r>
      <w:r w:rsidRPr="001E2023">
        <w:rPr>
          <w:noProof/>
        </w:rPr>
        <w:t>minimalizovalo sa administratívne zaťaženie, navrhované pravidlá uplatniteľné</w:t>
      </w:r>
      <w:r w:rsidR="001E2023">
        <w:rPr>
          <w:noProof/>
        </w:rPr>
        <w:t xml:space="preserve"> v </w:t>
      </w:r>
      <w:r w:rsidRPr="001E2023">
        <w:rPr>
          <w:noProof/>
        </w:rPr>
        <w:t>rámci EÚ sú plne</w:t>
      </w:r>
      <w:r w:rsidR="001E2023">
        <w:rPr>
          <w:noProof/>
        </w:rPr>
        <w:t xml:space="preserve"> v </w:t>
      </w:r>
      <w:r w:rsidRPr="001E2023">
        <w:rPr>
          <w:noProof/>
        </w:rPr>
        <w:t>súlade</w:t>
      </w:r>
      <w:r w:rsidR="001E2023">
        <w:rPr>
          <w:noProof/>
        </w:rPr>
        <w:t xml:space="preserve"> s </w:t>
      </w:r>
      <w:r w:rsidRPr="001E2023">
        <w:rPr>
          <w:noProof/>
        </w:rPr>
        <w:t>pravidlami, ktorými sa riadi výmena informácií</w:t>
      </w:r>
      <w:r w:rsidR="001E2023">
        <w:rPr>
          <w:noProof/>
        </w:rPr>
        <w:t xml:space="preserve"> s </w:t>
      </w:r>
      <w:r w:rsidRPr="001E2023">
        <w:rPr>
          <w:noProof/>
        </w:rPr>
        <w:t>jurisdikciami tretích krajín.</w:t>
      </w:r>
    </w:p>
    <w:p w14:paraId="709F4401" w14:textId="77777777" w:rsidR="004901E3" w:rsidRPr="001E2023" w:rsidRDefault="004901E3" w:rsidP="004901E3">
      <w:pPr>
        <w:pStyle w:val="ManualHeading2"/>
        <w:rPr>
          <w:rFonts w:eastAsia="Arial Unicode MS"/>
          <w:noProof/>
          <w:color w:val="000000"/>
          <w:u w:color="000000"/>
          <w:bdr w:val="nil"/>
        </w:rPr>
      </w:pPr>
      <w:r w:rsidRPr="001E2023">
        <w:rPr>
          <w:noProof/>
        </w:rPr>
        <w:t>Súlad</w:t>
      </w:r>
      <w:r w:rsidR="001E2023">
        <w:rPr>
          <w:noProof/>
        </w:rPr>
        <w:t xml:space="preserve"> s </w:t>
      </w:r>
      <w:r w:rsidRPr="001E2023">
        <w:rPr>
          <w:noProof/>
        </w:rPr>
        <w:t>existujúcimi ustanoveniami</w:t>
      </w:r>
      <w:r w:rsidR="001E2023">
        <w:rPr>
          <w:noProof/>
        </w:rPr>
        <w:t xml:space="preserve"> v </w:t>
      </w:r>
      <w:r w:rsidRPr="001E2023">
        <w:rPr>
          <w:noProof/>
        </w:rPr>
        <w:t>tejto oblasti politiky</w:t>
      </w:r>
    </w:p>
    <w:p w14:paraId="2900C450"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Tento návrh je plne</w:t>
      </w:r>
      <w:r w:rsidR="001E2023">
        <w:rPr>
          <w:noProof/>
        </w:rPr>
        <w:t xml:space="preserve"> v </w:t>
      </w:r>
      <w:r w:rsidRPr="001E2023">
        <w:rPr>
          <w:noProof/>
        </w:rPr>
        <w:t>súlade</w:t>
      </w:r>
      <w:r w:rsidR="001E2023">
        <w:rPr>
          <w:noProof/>
        </w:rPr>
        <w:t xml:space="preserve"> s </w:t>
      </w:r>
      <w:r w:rsidRPr="001E2023">
        <w:rPr>
          <w:noProof/>
        </w:rPr>
        <w:t>osobitným ustanovením (článok 44) smernice</w:t>
      </w:r>
      <w:r w:rsidR="001E2023">
        <w:rPr>
          <w:noProof/>
        </w:rPr>
        <w:t xml:space="preserve"> o </w:t>
      </w:r>
      <w:r w:rsidRPr="001E2023">
        <w:rPr>
          <w:noProof/>
        </w:rPr>
        <w:t>druhom pilieri</w:t>
      </w:r>
      <w:r w:rsidR="001E2023">
        <w:rPr>
          <w:noProof/>
        </w:rPr>
        <w:t xml:space="preserve"> a </w:t>
      </w:r>
      <w:r w:rsidRPr="001E2023">
        <w:rPr>
          <w:noProof/>
        </w:rPr>
        <w:t>uvádza ho do praxe</w:t>
      </w:r>
      <w:r w:rsidR="001E2023" w:rsidRPr="001E2023">
        <w:rPr>
          <w:noProof/>
        </w:rPr>
        <w:t>.</w:t>
      </w:r>
    </w:p>
    <w:p w14:paraId="1D7804E9"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V článku 44 ods. 5 smernice</w:t>
      </w:r>
      <w:r w:rsidR="001E2023">
        <w:rPr>
          <w:noProof/>
        </w:rPr>
        <w:t xml:space="preserve"> o </w:t>
      </w:r>
      <w:r w:rsidRPr="001E2023">
        <w:rPr>
          <w:noProof/>
        </w:rPr>
        <w:t>druhom pilieri sa uvádzajú príslušné informácie potrebné na podanie oznámení podľa smernice</w:t>
      </w:r>
      <w:r w:rsidR="001E2023">
        <w:rPr>
          <w:noProof/>
        </w:rPr>
        <w:t xml:space="preserve"> o </w:t>
      </w:r>
      <w:r w:rsidRPr="001E2023">
        <w:rPr>
          <w:noProof/>
        </w:rPr>
        <w:t>druhom pilieri. Ide najmä</w:t>
      </w:r>
      <w:r w:rsidR="001E2023">
        <w:rPr>
          <w:noProof/>
        </w:rPr>
        <w:t xml:space="preserve"> o </w:t>
      </w:r>
      <w:r w:rsidRPr="001E2023">
        <w:rPr>
          <w:noProof/>
        </w:rPr>
        <w:t>identifikačné údaje základných subjektov nadnárodného podniku, informácie</w:t>
      </w:r>
      <w:r w:rsidR="001E2023">
        <w:rPr>
          <w:noProof/>
        </w:rPr>
        <w:t xml:space="preserve"> o </w:t>
      </w:r>
      <w:r w:rsidRPr="001E2023">
        <w:rPr>
          <w:noProof/>
        </w:rPr>
        <w:t>podnikovej štruktúre nadnárodného podniku</w:t>
      </w:r>
      <w:r w:rsidR="001E2023">
        <w:rPr>
          <w:noProof/>
        </w:rPr>
        <w:t xml:space="preserve"> a </w:t>
      </w:r>
      <w:r w:rsidRPr="001E2023">
        <w:rPr>
          <w:noProof/>
        </w:rPr>
        <w:t>informácie, ktoré sú potrebné na výpočet efektívnej sadzby dane základných subjektov, dorovnávacej dane</w:t>
      </w:r>
      <w:r w:rsidR="001E2023">
        <w:rPr>
          <w:noProof/>
        </w:rPr>
        <w:t xml:space="preserve"> a </w:t>
      </w:r>
      <w:r w:rsidRPr="001E2023">
        <w:rPr>
          <w:noProof/>
        </w:rPr>
        <w:t>priradení. Toto bolo bližšie špecifikované na úrovni inkluzívneho rámca OECD/G20</w:t>
      </w:r>
      <w:r w:rsidR="001E2023">
        <w:rPr>
          <w:noProof/>
        </w:rPr>
        <w:t xml:space="preserve"> v </w:t>
      </w:r>
      <w:r w:rsidRPr="001E2023">
        <w:rPr>
          <w:noProof/>
        </w:rPr>
        <w:t>GIR, ktoré sa týmto návrhom začleňuje do súboru právnych predpisov EÚ ako oznámenie</w:t>
      </w:r>
      <w:r w:rsidR="001E2023">
        <w:rPr>
          <w:noProof/>
        </w:rPr>
        <w:t xml:space="preserve"> s </w:t>
      </w:r>
      <w:r w:rsidRPr="001E2023">
        <w:rPr>
          <w:noProof/>
        </w:rPr>
        <w:t>informáciami na určenie dorovnávacej dane. Tento návrh nezahŕňa spracúvanie osobných údajov</w:t>
      </w:r>
      <w:r w:rsidR="001E2023">
        <w:rPr>
          <w:noProof/>
        </w:rPr>
        <w:t xml:space="preserve"> v </w:t>
      </w:r>
      <w:r w:rsidRPr="001E2023">
        <w:rPr>
          <w:noProof/>
        </w:rPr>
        <w:t>zmysle článku 5 nariadenia (EÚ) 2016/679</w:t>
      </w:r>
      <w:r w:rsidRPr="001E2023">
        <w:rPr>
          <w:rStyle w:val="Odkaznapoznmkupodiarou"/>
          <w:noProof/>
        </w:rPr>
        <w:footnoteReference w:id="4"/>
      </w:r>
      <w:r w:rsidR="001E2023">
        <w:rPr>
          <w:noProof/>
        </w:rPr>
        <w:t xml:space="preserve"> a </w:t>
      </w:r>
      <w:r w:rsidRPr="001E2023">
        <w:rPr>
          <w:noProof/>
        </w:rPr>
        <w:t>článku 3 nariadenia (EÚ) 2018/1725</w:t>
      </w:r>
      <w:r w:rsidRPr="001E2023">
        <w:rPr>
          <w:rStyle w:val="Odkaznapoznmkupodiarou"/>
          <w:noProof/>
        </w:rPr>
        <w:footnoteReference w:id="5"/>
      </w:r>
      <w:r w:rsidRPr="001E2023">
        <w:rPr>
          <w:noProof/>
        </w:rPr>
        <w:t>.</w:t>
      </w:r>
    </w:p>
    <w:p w14:paraId="20611BF0"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Po druhé,</w:t>
      </w:r>
      <w:r w:rsidR="001E2023">
        <w:rPr>
          <w:noProof/>
        </w:rPr>
        <w:t xml:space="preserve"> v </w:t>
      </w:r>
      <w:r w:rsidRPr="001E2023">
        <w:rPr>
          <w:noProof/>
        </w:rPr>
        <w:t>tomto návrhu sa stanovujú pravidlá výmeny oznámení</w:t>
      </w:r>
      <w:r w:rsidR="001E2023">
        <w:rPr>
          <w:noProof/>
        </w:rPr>
        <w:t xml:space="preserve"> s </w:t>
      </w:r>
      <w:r w:rsidRPr="001E2023">
        <w:rPr>
          <w:noProof/>
        </w:rPr>
        <w:t>informáciami na určenie dorovnávacej dane</w:t>
      </w:r>
      <w:r w:rsidR="001E2023">
        <w:rPr>
          <w:noProof/>
        </w:rPr>
        <w:t xml:space="preserve"> v </w:t>
      </w:r>
      <w:r w:rsidRPr="001E2023">
        <w:rPr>
          <w:noProof/>
        </w:rPr>
        <w:t>súlade</w:t>
      </w:r>
      <w:r w:rsidR="001E2023">
        <w:rPr>
          <w:noProof/>
        </w:rPr>
        <w:t xml:space="preserve"> s </w:t>
      </w:r>
      <w:r w:rsidRPr="001E2023">
        <w:rPr>
          <w:noProof/>
        </w:rPr>
        <w:t>rámcom OECD</w:t>
      </w:r>
      <w:r w:rsidR="001E2023" w:rsidRPr="001E2023">
        <w:rPr>
          <w:noProof/>
        </w:rPr>
        <w:t>.</w:t>
      </w:r>
    </w:p>
    <w:p w14:paraId="48798FFE" w14:textId="77777777" w:rsidR="004901E3" w:rsidRPr="001E2023" w:rsidRDefault="004901E3" w:rsidP="005A5E6D">
      <w:pPr>
        <w:pStyle w:val="ManualHeading2"/>
        <w:rPr>
          <w:rFonts w:eastAsia="Arial Unicode MS"/>
          <w:b w:val="0"/>
          <w:bCs/>
          <w:noProof/>
          <w:color w:val="000000"/>
          <w:bdr w:val="nil"/>
        </w:rPr>
      </w:pPr>
      <w:r w:rsidRPr="001E2023">
        <w:rPr>
          <w:noProof/>
          <w:color w:val="000000"/>
          <w:bdr w:val="nil"/>
        </w:rPr>
        <w:lastRenderedPageBreak/>
        <w:t>Súlad</w:t>
      </w:r>
      <w:r w:rsidR="001E2023">
        <w:rPr>
          <w:noProof/>
          <w:color w:val="000000"/>
          <w:bdr w:val="nil"/>
        </w:rPr>
        <w:t xml:space="preserve"> s </w:t>
      </w:r>
      <w:r w:rsidRPr="001E2023">
        <w:rPr>
          <w:noProof/>
          <w:color w:val="000000"/>
          <w:bdr w:val="nil"/>
        </w:rPr>
        <w:t>ostatnými politikami EÚ</w:t>
      </w:r>
    </w:p>
    <w:p w14:paraId="7A95D9E3" w14:textId="77777777" w:rsidR="004901E3" w:rsidRPr="001E2023" w:rsidRDefault="004901E3" w:rsidP="004901E3">
      <w:pPr>
        <w:rPr>
          <w:noProof/>
          <w:spacing w:val="-4"/>
        </w:rPr>
      </w:pPr>
      <w:r w:rsidRPr="001E2023">
        <w:rPr>
          <w:noProof/>
          <w:spacing w:val="-4"/>
        </w:rPr>
        <w:t>Tento návrh je plne</w:t>
      </w:r>
      <w:r w:rsidR="001E2023" w:rsidRPr="001E2023">
        <w:rPr>
          <w:noProof/>
          <w:spacing w:val="-4"/>
        </w:rPr>
        <w:t xml:space="preserve"> v </w:t>
      </w:r>
      <w:r w:rsidRPr="001E2023">
        <w:rPr>
          <w:noProof/>
          <w:spacing w:val="-4"/>
        </w:rPr>
        <w:t>súlade</w:t>
      </w:r>
      <w:r w:rsidR="001E2023" w:rsidRPr="001E2023">
        <w:rPr>
          <w:noProof/>
          <w:spacing w:val="-4"/>
        </w:rPr>
        <w:t xml:space="preserve"> s </w:t>
      </w:r>
      <w:r w:rsidRPr="001E2023">
        <w:rPr>
          <w:noProof/>
          <w:spacing w:val="-4"/>
        </w:rPr>
        <w:t>úsilím Komisie</w:t>
      </w:r>
      <w:r w:rsidR="001E2023" w:rsidRPr="001E2023">
        <w:rPr>
          <w:noProof/>
          <w:spacing w:val="-4"/>
        </w:rPr>
        <w:t xml:space="preserve"> o </w:t>
      </w:r>
      <w:r w:rsidRPr="001E2023">
        <w:rPr>
          <w:noProof/>
          <w:spacing w:val="-4"/>
        </w:rPr>
        <w:t>racionalizáciu</w:t>
      </w:r>
      <w:r w:rsidR="001E2023" w:rsidRPr="001E2023">
        <w:rPr>
          <w:noProof/>
          <w:spacing w:val="-4"/>
        </w:rPr>
        <w:t xml:space="preserve"> a </w:t>
      </w:r>
      <w:r w:rsidRPr="001E2023">
        <w:rPr>
          <w:noProof/>
          <w:spacing w:val="-4"/>
        </w:rPr>
        <w:t>zjednodušenie požiadaviek na oznamovanie pre podniky</w:t>
      </w:r>
      <w:r w:rsidR="001E2023" w:rsidRPr="001E2023">
        <w:rPr>
          <w:noProof/>
          <w:spacing w:val="-4"/>
        </w:rPr>
        <w:t xml:space="preserve"> s </w:t>
      </w:r>
      <w:r w:rsidRPr="001E2023">
        <w:rPr>
          <w:noProof/>
          <w:spacing w:val="-4"/>
        </w:rPr>
        <w:t>cieľom znížiť toto zaťaženie</w:t>
      </w:r>
      <w:r w:rsidR="001E2023" w:rsidRPr="001E2023">
        <w:rPr>
          <w:noProof/>
          <w:spacing w:val="-4"/>
        </w:rPr>
        <w:t xml:space="preserve"> o </w:t>
      </w:r>
      <w:r w:rsidRPr="001E2023">
        <w:rPr>
          <w:noProof/>
          <w:spacing w:val="-4"/>
        </w:rPr>
        <w:t>25</w:t>
      </w:r>
      <w:r w:rsidR="001E2023" w:rsidRPr="001E2023">
        <w:rPr>
          <w:noProof/>
          <w:spacing w:val="-4"/>
        </w:rPr>
        <w:t> %</w:t>
      </w:r>
      <w:r w:rsidRPr="001E2023">
        <w:rPr>
          <w:noProof/>
          <w:spacing w:val="-4"/>
        </w:rPr>
        <w:t xml:space="preserve"> bez toho, aby to malo negatívny vplyv na súvisiace ciele politík</w:t>
      </w:r>
      <w:r w:rsidRPr="001E2023">
        <w:rPr>
          <w:rStyle w:val="Odkaznapoznmkupodiarou"/>
          <w:noProof/>
          <w:spacing w:val="-4"/>
        </w:rPr>
        <w:footnoteReference w:id="6"/>
      </w:r>
      <w:r w:rsidRPr="001E2023">
        <w:rPr>
          <w:noProof/>
          <w:spacing w:val="-4"/>
        </w:rPr>
        <w:t>,</w:t>
      </w:r>
      <w:r w:rsidR="001E2023" w:rsidRPr="001E2023">
        <w:rPr>
          <w:noProof/>
          <w:spacing w:val="-4"/>
        </w:rPr>
        <w:t xml:space="preserve"> a </w:t>
      </w:r>
      <w:r w:rsidRPr="001E2023">
        <w:rPr>
          <w:noProof/>
          <w:spacing w:val="-4"/>
        </w:rPr>
        <w:t>prispieva</w:t>
      </w:r>
      <w:r w:rsidR="001E2023" w:rsidRPr="001E2023">
        <w:rPr>
          <w:noProof/>
          <w:spacing w:val="-4"/>
        </w:rPr>
        <w:t xml:space="preserve"> k </w:t>
      </w:r>
      <w:r w:rsidRPr="001E2023">
        <w:rPr>
          <w:noProof/>
          <w:spacing w:val="-4"/>
        </w:rPr>
        <w:t>tomuto úsiliu. Dosiahne sa to tak, že sa prostredníctvom smernice bude vykonávať rámec výmeny informácií, ktorý je základom smernice</w:t>
      </w:r>
      <w:r w:rsidR="001E2023" w:rsidRPr="001E2023">
        <w:rPr>
          <w:noProof/>
          <w:spacing w:val="-4"/>
        </w:rPr>
        <w:t xml:space="preserve"> o </w:t>
      </w:r>
      <w:r w:rsidRPr="001E2023">
        <w:rPr>
          <w:noProof/>
          <w:spacing w:val="-4"/>
        </w:rPr>
        <w:t>druhom pilieri Tento prístup zabezpečuje jednotné</w:t>
      </w:r>
      <w:r w:rsidR="001E2023" w:rsidRPr="001E2023">
        <w:rPr>
          <w:noProof/>
          <w:spacing w:val="-4"/>
        </w:rPr>
        <w:t xml:space="preserve"> a </w:t>
      </w:r>
      <w:r w:rsidRPr="001E2023">
        <w:rPr>
          <w:noProof/>
          <w:spacing w:val="-4"/>
        </w:rPr>
        <w:t>prierezové uplatňovanie pravidiel podávania oznámenia</w:t>
      </w:r>
      <w:r w:rsidR="001E2023" w:rsidRPr="001E2023">
        <w:rPr>
          <w:noProof/>
          <w:spacing w:val="-4"/>
        </w:rPr>
        <w:t xml:space="preserve"> s </w:t>
      </w:r>
      <w:r w:rsidRPr="001E2023">
        <w:rPr>
          <w:noProof/>
          <w:spacing w:val="-4"/>
        </w:rPr>
        <w:t>informáciami na určenie dorovnávacej dane vo všetkých členských štátoch. Okrem toho umožňuje nadnárodnému podniku splniť si svoje povinnosti týkajúce sa podávania informácií</w:t>
      </w:r>
      <w:r w:rsidR="001E2023" w:rsidRPr="001E2023">
        <w:rPr>
          <w:noProof/>
          <w:spacing w:val="-4"/>
        </w:rPr>
        <w:t xml:space="preserve"> a </w:t>
      </w:r>
      <w:r w:rsidRPr="001E2023">
        <w:rPr>
          <w:noProof/>
          <w:spacing w:val="-4"/>
        </w:rPr>
        <w:t>oznámení len raz (v členskom štáte hlavného materského subjektu alebo určeného podávajúceho subjektu) na rozdiel od povinnosti podávať oznámenie</w:t>
      </w:r>
      <w:r w:rsidR="001E2023" w:rsidRPr="001E2023">
        <w:rPr>
          <w:noProof/>
          <w:spacing w:val="-4"/>
        </w:rPr>
        <w:t xml:space="preserve"> s </w:t>
      </w:r>
      <w:r w:rsidRPr="001E2023">
        <w:rPr>
          <w:noProof/>
          <w:spacing w:val="-4"/>
        </w:rPr>
        <w:t>informáciami na určenie dorovnávacej dane</w:t>
      </w:r>
      <w:r w:rsidR="001E2023" w:rsidRPr="001E2023">
        <w:rPr>
          <w:noProof/>
          <w:spacing w:val="-4"/>
        </w:rPr>
        <w:t xml:space="preserve"> v </w:t>
      </w:r>
      <w:r w:rsidRPr="001E2023">
        <w:rPr>
          <w:noProof/>
          <w:spacing w:val="-4"/>
        </w:rPr>
        <w:t>každom členskom štáte,</w:t>
      </w:r>
      <w:r w:rsidR="001E2023" w:rsidRPr="001E2023">
        <w:rPr>
          <w:noProof/>
          <w:spacing w:val="-4"/>
        </w:rPr>
        <w:t xml:space="preserve"> v </w:t>
      </w:r>
      <w:r w:rsidRPr="001E2023">
        <w:rPr>
          <w:noProof/>
          <w:spacing w:val="-4"/>
        </w:rPr>
        <w:t>ktorom sa základné subjekty nachádzajú.</w:t>
      </w:r>
    </w:p>
    <w:p w14:paraId="61D4D8C4" w14:textId="77777777" w:rsidR="004901E3" w:rsidRPr="001E2023" w:rsidRDefault="004901E3" w:rsidP="004901E3">
      <w:pPr>
        <w:pStyle w:val="ManualHeading1"/>
        <w:rPr>
          <w:noProof/>
        </w:rPr>
      </w:pPr>
      <w:r w:rsidRPr="001E2023">
        <w:rPr>
          <w:noProof/>
        </w:rPr>
        <w:t>2.</w:t>
      </w:r>
      <w:r w:rsidRPr="001E2023">
        <w:rPr>
          <w:noProof/>
        </w:rPr>
        <w:tab/>
        <w:t>PRÁVNY ZÁKLAD, SUBSIDIARITA A PROPORCIONALITA</w:t>
      </w:r>
    </w:p>
    <w:p w14:paraId="3D8CC86C" w14:textId="77777777" w:rsidR="004901E3" w:rsidRPr="001E2023" w:rsidRDefault="004901E3" w:rsidP="004901E3">
      <w:pPr>
        <w:pStyle w:val="ManualHeading2"/>
        <w:rPr>
          <w:rFonts w:eastAsia="Arial Unicode MS"/>
          <w:noProof/>
          <w:u w:color="000000"/>
          <w:bdr w:val="nil"/>
        </w:rPr>
      </w:pPr>
      <w:r w:rsidRPr="001E2023">
        <w:rPr>
          <w:noProof/>
          <w:u w:color="000000"/>
          <w:bdr w:val="nil"/>
        </w:rPr>
        <w:t>Právny základ</w:t>
      </w:r>
    </w:p>
    <w:p w14:paraId="5CF19C51"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Články 113</w:t>
      </w:r>
      <w:r w:rsidR="001E2023">
        <w:rPr>
          <w:noProof/>
        </w:rPr>
        <w:t xml:space="preserve"> a </w:t>
      </w:r>
      <w:r w:rsidRPr="001E2023">
        <w:rPr>
          <w:noProof/>
        </w:rPr>
        <w:t>115 Zmluvy</w:t>
      </w:r>
      <w:r w:rsidR="001E2023">
        <w:rPr>
          <w:noProof/>
        </w:rPr>
        <w:t xml:space="preserve"> o </w:t>
      </w:r>
      <w:r w:rsidRPr="001E2023">
        <w:rPr>
          <w:noProof/>
        </w:rPr>
        <w:t>fungovaní Európskej únie (ZFEÚ) sú právnym základom pre legislatívne iniciatívy</w:t>
      </w:r>
      <w:r w:rsidR="001E2023">
        <w:rPr>
          <w:noProof/>
        </w:rPr>
        <w:t xml:space="preserve"> v </w:t>
      </w:r>
      <w:r w:rsidRPr="001E2023">
        <w:rPr>
          <w:noProof/>
        </w:rPr>
        <w:t>oblasti administratívnej spolupráce</w:t>
      </w:r>
      <w:r w:rsidR="001E2023">
        <w:rPr>
          <w:noProof/>
        </w:rPr>
        <w:t xml:space="preserve"> a </w:t>
      </w:r>
      <w:r w:rsidRPr="001E2023">
        <w:rPr>
          <w:noProof/>
        </w:rPr>
        <w:t>priameho zdaňovania. Hoci článok 115 neobsahuje výslovný odkaz na priame zdaňovanie, možno ho použiť na aproximáciu vnútroštátnych právnych predpisov</w:t>
      </w:r>
      <w:r w:rsidR="001E2023">
        <w:rPr>
          <w:noProof/>
        </w:rPr>
        <w:t xml:space="preserve"> a </w:t>
      </w:r>
      <w:r w:rsidRPr="001E2023">
        <w:rPr>
          <w:noProof/>
        </w:rPr>
        <w:t>administratívnych postupov, ktoré priamo ovplyvňujú vytvorenie alebo fungovanie vnútorného trhu</w:t>
      </w:r>
      <w:r w:rsidR="001E2023">
        <w:rPr>
          <w:noProof/>
        </w:rPr>
        <w:t xml:space="preserve"> v </w:t>
      </w:r>
      <w:r w:rsidRPr="001E2023">
        <w:rPr>
          <w:noProof/>
        </w:rPr>
        <w:t>oblasti priameho zdaňovania</w:t>
      </w:r>
      <w:r w:rsidR="001E2023" w:rsidRPr="001E2023">
        <w:rPr>
          <w:noProof/>
        </w:rPr>
        <w:t>.</w:t>
      </w:r>
    </w:p>
    <w:p w14:paraId="3C06BB66" w14:textId="77777777" w:rsidR="004901E3" w:rsidRPr="001E2023" w:rsidRDefault="004901E3" w:rsidP="004901E3">
      <w:pPr>
        <w:pBdr>
          <w:top w:val="nil"/>
          <w:left w:val="nil"/>
          <w:bottom w:val="nil"/>
          <w:right w:val="nil"/>
          <w:between w:val="nil"/>
          <w:bar w:val="nil"/>
        </w:pBdr>
        <w:spacing w:before="0" w:after="240"/>
        <w:rPr>
          <w:rFonts w:eastAsia="Arial Unicode MS"/>
          <w:noProof/>
        </w:rPr>
      </w:pPr>
      <w:r w:rsidRPr="001E2023">
        <w:rPr>
          <w:noProof/>
        </w:rPr>
        <w:t>Keďže navrhovanou iniciatívou sa mení smernica</w:t>
      </w:r>
      <w:r w:rsidR="001E2023">
        <w:rPr>
          <w:noProof/>
        </w:rPr>
        <w:t xml:space="preserve"> o </w:t>
      </w:r>
      <w:r w:rsidRPr="001E2023">
        <w:rPr>
          <w:noProof/>
        </w:rPr>
        <w:t>administratívnej spolupráci</w:t>
      </w:r>
      <w:r w:rsidR="001E2023">
        <w:rPr>
          <w:noProof/>
        </w:rPr>
        <w:t xml:space="preserve"> v </w:t>
      </w:r>
      <w:r w:rsidRPr="001E2023">
        <w:rPr>
          <w:noProof/>
        </w:rPr>
        <w:t>oblasti daní (DAC), zvolený právny základ zostáva rovnaký. Navrhované pravidlá, ktorých cieľom je zabezpečiť fungujúci rámec, pokiaľ ide</w:t>
      </w:r>
      <w:r w:rsidR="001E2023">
        <w:rPr>
          <w:noProof/>
        </w:rPr>
        <w:t xml:space="preserve"> o </w:t>
      </w:r>
      <w:r w:rsidRPr="001E2023">
        <w:rPr>
          <w:noProof/>
        </w:rPr>
        <w:t>výmenu informácií medzi príslušnými orgánmi na účely smernice</w:t>
      </w:r>
      <w:r w:rsidR="001E2023">
        <w:rPr>
          <w:noProof/>
        </w:rPr>
        <w:t xml:space="preserve"> o </w:t>
      </w:r>
      <w:r w:rsidRPr="001E2023">
        <w:rPr>
          <w:noProof/>
        </w:rPr>
        <w:t>druhom pilieri, sa</w:t>
      </w:r>
      <w:r w:rsidR="001E2023">
        <w:rPr>
          <w:noProof/>
        </w:rPr>
        <w:t xml:space="preserve"> v </w:t>
      </w:r>
      <w:r w:rsidRPr="001E2023">
        <w:rPr>
          <w:noProof/>
        </w:rPr>
        <w:t>skutočnosti neodchyľujú od predmetu DAC. Plánované zmeny poskytnú najmä jasný</w:t>
      </w:r>
      <w:r w:rsidR="001E2023">
        <w:rPr>
          <w:noProof/>
        </w:rPr>
        <w:t xml:space="preserve"> a </w:t>
      </w:r>
      <w:r w:rsidRPr="001E2023">
        <w:rPr>
          <w:noProof/>
        </w:rPr>
        <w:t>harmonizovaný rámec pre podávanie</w:t>
      </w:r>
      <w:r w:rsidR="001E2023">
        <w:rPr>
          <w:noProof/>
        </w:rPr>
        <w:t xml:space="preserve"> a </w:t>
      </w:r>
      <w:r w:rsidRPr="001E2023">
        <w:rPr>
          <w:noProof/>
        </w:rPr>
        <w:t>výmenu oznámenia</w:t>
      </w:r>
      <w:r w:rsidR="001E2023">
        <w:rPr>
          <w:noProof/>
        </w:rPr>
        <w:t xml:space="preserve"> s </w:t>
      </w:r>
      <w:r w:rsidRPr="001E2023">
        <w:rPr>
          <w:noProof/>
        </w:rPr>
        <w:t>informáciami na určenie dorovnávacej dane. Jednotné uplatňovanie týchto ustanovení je možné dosiahnuť len prostredníctvom aproximácie vnútroštátnych právnych predpisov na základe jednotného prístupu, ako sa stanovuje</w:t>
      </w:r>
      <w:r w:rsidR="001E2023">
        <w:rPr>
          <w:noProof/>
        </w:rPr>
        <w:t xml:space="preserve"> v </w:t>
      </w:r>
      <w:r w:rsidRPr="001E2023">
        <w:rPr>
          <w:noProof/>
        </w:rPr>
        <w:t>článkoch 113</w:t>
      </w:r>
      <w:r w:rsidR="001E2023">
        <w:rPr>
          <w:noProof/>
        </w:rPr>
        <w:t xml:space="preserve"> a </w:t>
      </w:r>
      <w:r w:rsidRPr="001E2023">
        <w:rPr>
          <w:noProof/>
        </w:rPr>
        <w:t>115 ZFEÚ.</w:t>
      </w:r>
    </w:p>
    <w:p w14:paraId="69500813" w14:textId="77777777" w:rsidR="001E2023" w:rsidRPr="001E2023" w:rsidRDefault="004901E3" w:rsidP="004901E3">
      <w:pPr>
        <w:pStyle w:val="ManualHeading2"/>
        <w:rPr>
          <w:noProof/>
          <w:u w:color="000000"/>
          <w:bdr w:val="nil"/>
        </w:rPr>
      </w:pPr>
      <w:r w:rsidRPr="001E2023">
        <w:rPr>
          <w:noProof/>
          <w:u w:color="000000"/>
          <w:bdr w:val="nil"/>
        </w:rPr>
        <w:t>Subsidiarita (v prípade inej ako výlučnej právomoci)</w:t>
      </w:r>
    </w:p>
    <w:p w14:paraId="3E52C0CE"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Návrh</w:t>
      </w:r>
      <w:r w:rsidR="001E2023">
        <w:rPr>
          <w:noProof/>
        </w:rPr>
        <w:t xml:space="preserve"> v </w:t>
      </w:r>
      <w:r w:rsidRPr="001E2023">
        <w:rPr>
          <w:noProof/>
        </w:rPr>
        <w:t>plnej miere dodržiava zásadu subsidiarity stanovenú</w:t>
      </w:r>
      <w:r w:rsidR="001E2023">
        <w:rPr>
          <w:noProof/>
        </w:rPr>
        <w:t xml:space="preserve"> v </w:t>
      </w:r>
      <w:r w:rsidRPr="001E2023">
        <w:rPr>
          <w:noProof/>
        </w:rPr>
        <w:t>článku 5 ZFEÚ. Upravuje administratívnu spoluprácu</w:t>
      </w:r>
      <w:r w:rsidR="001E2023">
        <w:rPr>
          <w:noProof/>
        </w:rPr>
        <w:t xml:space="preserve"> v </w:t>
      </w:r>
      <w:r w:rsidRPr="001E2023">
        <w:rPr>
          <w:noProof/>
        </w:rPr>
        <w:t>oblasti daní. Návrh je dvojaký: po prvé, uvádza do praxe článok 44 smernice</w:t>
      </w:r>
      <w:r w:rsidR="001E2023">
        <w:rPr>
          <w:noProof/>
        </w:rPr>
        <w:t xml:space="preserve"> o </w:t>
      </w:r>
      <w:r w:rsidRPr="001E2023">
        <w:rPr>
          <w:noProof/>
        </w:rPr>
        <w:t>druhom pilieri tým, že stanovuje jednotné požiadavky na oznamovanie pre nadnárodné podniky patriace do rozsahu pôsobnosti smernice; po druhé, rozširuje rozsah automatickej výmeny informácií medzi príslušnými orgánmi členských štátov na oznámenia podávané nadnárodnými podnikmi na účely smernice</w:t>
      </w:r>
      <w:r w:rsidR="001E2023">
        <w:rPr>
          <w:noProof/>
        </w:rPr>
        <w:t xml:space="preserve"> o </w:t>
      </w:r>
      <w:r w:rsidRPr="001E2023">
        <w:rPr>
          <w:noProof/>
        </w:rPr>
        <w:t>druhom pilieri</w:t>
      </w:r>
      <w:r w:rsidR="001E2023" w:rsidRPr="001E2023">
        <w:rPr>
          <w:noProof/>
        </w:rPr>
        <w:t>.</w:t>
      </w:r>
    </w:p>
    <w:p w14:paraId="07BB7B00" w14:textId="77777777" w:rsidR="001E2023" w:rsidRPr="001E2023" w:rsidRDefault="004901E3" w:rsidP="004901E3">
      <w:pPr>
        <w:rPr>
          <w:noProof/>
        </w:rPr>
      </w:pPr>
      <w:r w:rsidRPr="001E2023">
        <w:rPr>
          <w:noProof/>
        </w:rPr>
        <w:t>Právnu istotu</w:t>
      </w:r>
      <w:r w:rsidR="001E2023">
        <w:rPr>
          <w:noProof/>
        </w:rPr>
        <w:t xml:space="preserve"> a </w:t>
      </w:r>
      <w:r w:rsidRPr="001E2023">
        <w:rPr>
          <w:noProof/>
        </w:rPr>
        <w:t>zrozumiteľnosť pre nadnárodné podniky</w:t>
      </w:r>
      <w:r w:rsidR="001E2023">
        <w:rPr>
          <w:noProof/>
        </w:rPr>
        <w:t xml:space="preserve"> a </w:t>
      </w:r>
      <w:r w:rsidRPr="001E2023">
        <w:rPr>
          <w:noProof/>
        </w:rPr>
        <w:t>daňové správy možno zabezpečiť len vytvorením jediného súboru jednotných pravidiel platných pre všetky členské štáty. Existujúce pravidlá na zabezpečenie globálnej minimálnej úrovne zdanenia nadnárodných podnikov</w:t>
      </w:r>
      <w:r w:rsidR="001E2023">
        <w:rPr>
          <w:noProof/>
        </w:rPr>
        <w:t xml:space="preserve"> a </w:t>
      </w:r>
      <w:r w:rsidRPr="001E2023">
        <w:rPr>
          <w:noProof/>
        </w:rPr>
        <w:t>veľkých vnútroštátnych skupín</w:t>
      </w:r>
      <w:r w:rsidR="001E2023">
        <w:rPr>
          <w:noProof/>
        </w:rPr>
        <w:t xml:space="preserve"> v </w:t>
      </w:r>
      <w:r w:rsidRPr="001E2023">
        <w:rPr>
          <w:noProof/>
        </w:rPr>
        <w:t>EÚ, ktoré sú zakotvené</w:t>
      </w:r>
      <w:r w:rsidR="001E2023">
        <w:rPr>
          <w:noProof/>
        </w:rPr>
        <w:t xml:space="preserve"> v </w:t>
      </w:r>
      <w:r w:rsidRPr="001E2023">
        <w:rPr>
          <w:noProof/>
        </w:rPr>
        <w:t>smernici</w:t>
      </w:r>
      <w:r w:rsidR="001E2023">
        <w:rPr>
          <w:noProof/>
        </w:rPr>
        <w:t xml:space="preserve"> o </w:t>
      </w:r>
      <w:r w:rsidRPr="001E2023">
        <w:rPr>
          <w:noProof/>
        </w:rPr>
        <w:t>druhom pilieri, by boli vážne ohrozené, keby mali členské štáty zaviesť rozdielne požiadavky na oznamovanie na vnútroštátnej úrovni</w:t>
      </w:r>
      <w:r w:rsidR="001E2023" w:rsidRPr="001E2023">
        <w:rPr>
          <w:noProof/>
        </w:rPr>
        <w:t>.</w:t>
      </w:r>
    </w:p>
    <w:p w14:paraId="3E6A7283" w14:textId="77777777" w:rsidR="004901E3" w:rsidRPr="001E2023" w:rsidRDefault="004901E3" w:rsidP="004901E3">
      <w:pPr>
        <w:rPr>
          <w:rFonts w:eastAsia="Arial Unicode MS"/>
          <w:noProof/>
        </w:rPr>
      </w:pPr>
      <w:r w:rsidRPr="001E2023">
        <w:rPr>
          <w:noProof/>
        </w:rPr>
        <w:t>Hoci sa na medzinárodnej úrovni prostredníctvom modelových pravidiel GloBE vypracoval spoločný prístup</w:t>
      </w:r>
      <w:r w:rsidR="001E2023">
        <w:rPr>
          <w:noProof/>
        </w:rPr>
        <w:t xml:space="preserve"> k </w:t>
      </w:r>
      <w:r w:rsidRPr="001E2023">
        <w:rPr>
          <w:noProof/>
        </w:rPr>
        <w:t>podávaniu oznámení</w:t>
      </w:r>
      <w:r w:rsidR="001E2023">
        <w:rPr>
          <w:noProof/>
        </w:rPr>
        <w:t xml:space="preserve"> a </w:t>
      </w:r>
      <w:r w:rsidRPr="001E2023">
        <w:rPr>
          <w:noProof/>
        </w:rPr>
        <w:t>výmene informácií na účely smernice</w:t>
      </w:r>
      <w:r w:rsidR="001E2023">
        <w:rPr>
          <w:noProof/>
        </w:rPr>
        <w:t xml:space="preserve"> o </w:t>
      </w:r>
      <w:r w:rsidRPr="001E2023">
        <w:rPr>
          <w:noProof/>
        </w:rPr>
        <w:t>druhom pilieri, je dôležité zabezpečiť, aby sa</w:t>
      </w:r>
      <w:r w:rsidR="001E2023">
        <w:rPr>
          <w:noProof/>
        </w:rPr>
        <w:t xml:space="preserve"> v </w:t>
      </w:r>
      <w:r w:rsidRPr="001E2023">
        <w:rPr>
          <w:noProof/>
        </w:rPr>
        <w:t>EÚ uplatňoval jednotným spôsobom.</w:t>
      </w:r>
      <w:r w:rsidR="001E2023">
        <w:rPr>
          <w:noProof/>
        </w:rPr>
        <w:t xml:space="preserve"> V </w:t>
      </w:r>
      <w:r w:rsidRPr="001E2023">
        <w:rPr>
          <w:noProof/>
        </w:rPr>
        <w:t xml:space="preserve">EÚ, ktorú </w:t>
      </w:r>
      <w:r w:rsidRPr="001E2023">
        <w:rPr>
          <w:noProof/>
        </w:rPr>
        <w:lastRenderedPageBreak/>
        <w:t>tvoria vysoko integrované hospodárstva, sú potrebné koordinované kroky na zlepšenie fungovania jednotného trhu</w:t>
      </w:r>
      <w:r w:rsidR="001E2023">
        <w:rPr>
          <w:noProof/>
        </w:rPr>
        <w:t xml:space="preserve"> a </w:t>
      </w:r>
      <w:r w:rsidRPr="001E2023">
        <w:rPr>
          <w:noProof/>
        </w:rPr>
        <w:t>zabezpečenie riadneho uplatňovania smernice</w:t>
      </w:r>
      <w:r w:rsidR="001E2023">
        <w:rPr>
          <w:noProof/>
        </w:rPr>
        <w:t xml:space="preserve"> o </w:t>
      </w:r>
      <w:r w:rsidRPr="001E2023">
        <w:rPr>
          <w:noProof/>
        </w:rPr>
        <w:t>druhom pilieri pri zabezpečovaní minimálneho efektívneho zdanenia ziskov podnikov. To sa dá dosiahnuť len vtedy, ak sa aj oznamovacie povinnosti zavedú centrálne</w:t>
      </w:r>
      <w:r w:rsidR="001E2023">
        <w:rPr>
          <w:noProof/>
        </w:rPr>
        <w:t xml:space="preserve"> a </w:t>
      </w:r>
      <w:r w:rsidRPr="001E2023">
        <w:rPr>
          <w:noProof/>
        </w:rPr>
        <w:t>jednotne transponujú.</w:t>
      </w:r>
    </w:p>
    <w:p w14:paraId="14B7D852" w14:textId="77777777" w:rsidR="001E2023" w:rsidRPr="001E2023" w:rsidRDefault="004901E3" w:rsidP="004901E3">
      <w:pPr>
        <w:rPr>
          <w:noProof/>
        </w:rPr>
      </w:pPr>
      <w:r w:rsidRPr="001E2023">
        <w:rPr>
          <w:noProof/>
        </w:rPr>
        <w:t>Iniciatíva EÚ je pridanou hodnotou</w:t>
      </w:r>
      <w:r w:rsidR="001E2023">
        <w:rPr>
          <w:noProof/>
        </w:rPr>
        <w:t xml:space="preserve"> v </w:t>
      </w:r>
      <w:r w:rsidRPr="001E2023">
        <w:rPr>
          <w:noProof/>
        </w:rPr>
        <w:t>porovnaní</w:t>
      </w:r>
      <w:r w:rsidR="001E2023">
        <w:rPr>
          <w:noProof/>
        </w:rPr>
        <w:t xml:space="preserve"> s </w:t>
      </w:r>
      <w:r w:rsidRPr="001E2023">
        <w:rPr>
          <w:noProof/>
        </w:rPr>
        <w:t>tým, čo by sa dalo dosiahnuť množstvom vnútroštátnych metód vykonávania založených na právne nezáväzných modelových pravidlách GloBE. Prístup EÚ má tri hlavné výhody. Po prvé, právny rámec pre podávanie oznámení</w:t>
      </w:r>
      <w:r w:rsidR="001E2023">
        <w:rPr>
          <w:noProof/>
        </w:rPr>
        <w:t xml:space="preserve"> a </w:t>
      </w:r>
      <w:r w:rsidRPr="001E2023">
        <w:rPr>
          <w:noProof/>
        </w:rPr>
        <w:t>výmenu informácií medzi daňovými orgánmi by sa</w:t>
      </w:r>
      <w:r w:rsidR="001E2023">
        <w:rPr>
          <w:noProof/>
        </w:rPr>
        <w:t xml:space="preserve"> v </w:t>
      </w:r>
      <w:r w:rsidRPr="001E2023">
        <w:rPr>
          <w:noProof/>
        </w:rPr>
        <w:t>členských štátoch úplne zosúladil, čo by uľahčilo požiadavky na oznamovanie pre nadnárodné podniky. Po druhé, výmenu informácií by podporovala spoločná IT infraštruktúra. Napokon, jednotné vykonávanie na úrovni EÚ by daňovníkom poskytlo právnu istotu, pokiaľ ide</w:t>
      </w:r>
      <w:r w:rsidR="001E2023">
        <w:rPr>
          <w:noProof/>
        </w:rPr>
        <w:t xml:space="preserve"> o </w:t>
      </w:r>
      <w:r w:rsidRPr="001E2023">
        <w:rPr>
          <w:noProof/>
        </w:rPr>
        <w:t>ich povinnosti týkajúce sa podávania informácií</w:t>
      </w:r>
      <w:r w:rsidR="001E2023">
        <w:rPr>
          <w:noProof/>
        </w:rPr>
        <w:t xml:space="preserve"> a </w:t>
      </w:r>
      <w:r w:rsidRPr="001E2023">
        <w:rPr>
          <w:noProof/>
        </w:rPr>
        <w:t>oznámení</w:t>
      </w:r>
      <w:r w:rsidR="001E2023">
        <w:rPr>
          <w:noProof/>
        </w:rPr>
        <w:t xml:space="preserve"> a </w:t>
      </w:r>
      <w:r w:rsidRPr="001E2023">
        <w:rPr>
          <w:noProof/>
        </w:rPr>
        <w:t>pravidlá výmeny informácií medzi príslušnými orgánmi</w:t>
      </w:r>
      <w:r w:rsidR="001E2023" w:rsidRPr="001E2023">
        <w:rPr>
          <w:noProof/>
        </w:rPr>
        <w:t>.</w:t>
      </w:r>
    </w:p>
    <w:p w14:paraId="6BF27543" w14:textId="77777777" w:rsidR="004901E3" w:rsidRPr="001E2023" w:rsidRDefault="004901E3" w:rsidP="004901E3">
      <w:pPr>
        <w:pStyle w:val="ManualHeading2"/>
        <w:rPr>
          <w:rFonts w:eastAsia="Arial Unicode MS"/>
          <w:noProof/>
          <w:u w:color="000000"/>
          <w:bdr w:val="nil"/>
        </w:rPr>
      </w:pPr>
      <w:r w:rsidRPr="001E2023">
        <w:rPr>
          <w:noProof/>
          <w:u w:color="000000"/>
          <w:bdr w:val="nil"/>
        </w:rPr>
        <w:t>Proporcionalita</w:t>
      </w:r>
    </w:p>
    <w:p w14:paraId="4F898360"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Návrhom sa vykonávajú existujúce povinnosti podľa článku 44 smernice</w:t>
      </w:r>
      <w:r w:rsidR="001E2023">
        <w:rPr>
          <w:noProof/>
        </w:rPr>
        <w:t xml:space="preserve"> o </w:t>
      </w:r>
      <w:r w:rsidRPr="001E2023">
        <w:rPr>
          <w:noProof/>
        </w:rPr>
        <w:t>druhom pilieri týkajúce sa povinností nadnárodných podnikov podávať informácie</w:t>
      </w:r>
      <w:r w:rsidR="001E2023">
        <w:rPr>
          <w:noProof/>
        </w:rPr>
        <w:t xml:space="preserve"> a </w:t>
      </w:r>
      <w:r w:rsidRPr="001E2023">
        <w:rPr>
          <w:noProof/>
        </w:rPr>
        <w:t>oznámenia</w:t>
      </w:r>
      <w:r w:rsidR="001E2023">
        <w:rPr>
          <w:noProof/>
        </w:rPr>
        <w:t xml:space="preserve"> v </w:t>
      </w:r>
      <w:r w:rsidRPr="001E2023">
        <w:rPr>
          <w:noProof/>
        </w:rPr>
        <w:t>rámci rozsahu pôsobnosti smernice</w:t>
      </w:r>
      <w:r w:rsidR="001E2023">
        <w:rPr>
          <w:noProof/>
        </w:rPr>
        <w:t xml:space="preserve"> a </w:t>
      </w:r>
      <w:r w:rsidRPr="001E2023">
        <w:rPr>
          <w:noProof/>
        </w:rPr>
        <w:t>rozširuje sa rozsah automatickej výmeny informácií podľa DAC na oznámenia podávané týmito nadnárodnými podnikmi. Vzhľadom na to, že tieto nadnárodné podniky pôsobia aj za hranicami jedného členského štátu, spoločné pravidlá EÚ predstavujú minimálnu úroveň regulácie potrebnú na zabezpečenie účinného podávania oznámení</w:t>
      </w:r>
      <w:r w:rsidR="001E2023" w:rsidRPr="001E2023">
        <w:rPr>
          <w:noProof/>
        </w:rPr>
        <w:t>.</w:t>
      </w:r>
    </w:p>
    <w:p w14:paraId="6981D369" w14:textId="77777777" w:rsidR="004901E3" w:rsidRPr="001E2023" w:rsidRDefault="004901E3" w:rsidP="004901E3">
      <w:pPr>
        <w:pBdr>
          <w:top w:val="nil"/>
          <w:left w:val="nil"/>
          <w:bottom w:val="nil"/>
          <w:right w:val="nil"/>
          <w:between w:val="nil"/>
          <w:bar w:val="nil"/>
        </w:pBdr>
        <w:spacing w:before="0" w:after="240"/>
        <w:rPr>
          <w:rFonts w:eastAsia="Arial Unicode MS"/>
          <w:noProof/>
        </w:rPr>
      </w:pPr>
      <w:r w:rsidRPr="001E2023">
        <w:rPr>
          <w:noProof/>
        </w:rPr>
        <w:t>Smernica preto neprekračuje rámec nevyhnutný na dosiahnutie jej cieľov</w:t>
      </w:r>
      <w:r w:rsidR="001E2023">
        <w:rPr>
          <w:noProof/>
        </w:rPr>
        <w:t xml:space="preserve"> a </w:t>
      </w:r>
      <w:r w:rsidRPr="001E2023">
        <w:rPr>
          <w:noProof/>
        </w:rPr>
        <w:t>rešpektuje zásadu proporcionality.</w:t>
      </w:r>
    </w:p>
    <w:p w14:paraId="349865AC" w14:textId="77777777" w:rsidR="004901E3" w:rsidRPr="001E2023" w:rsidRDefault="004901E3" w:rsidP="004901E3">
      <w:pPr>
        <w:pStyle w:val="ManualHeading2"/>
        <w:rPr>
          <w:rFonts w:eastAsia="Arial Unicode MS"/>
          <w:noProof/>
          <w:u w:color="000000"/>
          <w:bdr w:val="nil"/>
        </w:rPr>
      </w:pPr>
      <w:r w:rsidRPr="001E2023">
        <w:rPr>
          <w:noProof/>
          <w:u w:color="000000"/>
          <w:bdr w:val="nil"/>
        </w:rPr>
        <w:t>Výber nástroja</w:t>
      </w:r>
    </w:p>
    <w:p w14:paraId="55813AFE" w14:textId="77777777" w:rsidR="004901E3" w:rsidRPr="001E2023" w:rsidRDefault="004901E3" w:rsidP="004901E3">
      <w:pPr>
        <w:pBdr>
          <w:top w:val="nil"/>
          <w:left w:val="nil"/>
          <w:bottom w:val="nil"/>
          <w:right w:val="nil"/>
          <w:between w:val="nil"/>
          <w:bar w:val="nil"/>
        </w:pBdr>
        <w:spacing w:before="0" w:after="240"/>
        <w:rPr>
          <w:rFonts w:eastAsia="Arial Unicode MS"/>
          <w:noProof/>
        </w:rPr>
      </w:pPr>
      <w:r w:rsidRPr="001E2023">
        <w:rPr>
          <w:noProof/>
        </w:rPr>
        <w:t>Návrh je návrhom smernice, ktorá je jediným dostupným nástrojom podľa právneho základu článkov 113</w:t>
      </w:r>
      <w:r w:rsidR="001E2023">
        <w:rPr>
          <w:noProof/>
        </w:rPr>
        <w:t xml:space="preserve"> a </w:t>
      </w:r>
      <w:r w:rsidRPr="001E2023">
        <w:rPr>
          <w:noProof/>
        </w:rPr>
        <w:t>115 ZFEÚ. Okrem toho táto smernica predstavuje ôsmu zmenu smernice</w:t>
      </w:r>
      <w:r w:rsidR="001E2023">
        <w:rPr>
          <w:noProof/>
        </w:rPr>
        <w:t xml:space="preserve"> o </w:t>
      </w:r>
      <w:r w:rsidRPr="001E2023">
        <w:rPr>
          <w:noProof/>
        </w:rPr>
        <w:t>administratívnej spolupráci</w:t>
      </w:r>
      <w:r w:rsidR="001E2023">
        <w:rPr>
          <w:noProof/>
        </w:rPr>
        <w:t xml:space="preserve"> v </w:t>
      </w:r>
      <w:r w:rsidRPr="001E2023">
        <w:rPr>
          <w:noProof/>
        </w:rPr>
        <w:t>oblasti daní (2011/16/EÚ) po smerniciach Rady 2014/107/EÚ, 2015/2376/EÚ, 2016/881/EÚ, 2016/2258/EÚ, 2018/822/EÚ, 2021/514/EÚ</w:t>
      </w:r>
      <w:r w:rsidR="001E2023">
        <w:rPr>
          <w:noProof/>
        </w:rPr>
        <w:t xml:space="preserve"> a </w:t>
      </w:r>
      <w:r w:rsidRPr="001E2023">
        <w:rPr>
          <w:noProof/>
        </w:rPr>
        <w:t>2023/2226/EÚ.</w:t>
      </w:r>
    </w:p>
    <w:p w14:paraId="59C1155D" w14:textId="77777777" w:rsidR="004901E3" w:rsidRPr="001E2023" w:rsidRDefault="004901E3" w:rsidP="004901E3">
      <w:pPr>
        <w:pStyle w:val="ManualHeading1"/>
        <w:rPr>
          <w:noProof/>
        </w:rPr>
      </w:pPr>
      <w:r w:rsidRPr="001E2023">
        <w:rPr>
          <w:noProof/>
        </w:rPr>
        <w:t>3.</w:t>
      </w:r>
      <w:r w:rsidRPr="001E2023">
        <w:rPr>
          <w:noProof/>
        </w:rPr>
        <w:tab/>
        <w:t xml:space="preserve">VÝSLEDKY HODNOTENÍ </w:t>
      </w:r>
      <w:r w:rsidRPr="001E2023">
        <w:rPr>
          <w:i/>
          <w:iCs/>
          <w:noProof/>
        </w:rPr>
        <w:t>EX POST</w:t>
      </w:r>
      <w:r w:rsidRPr="001E2023">
        <w:rPr>
          <w:noProof/>
        </w:rPr>
        <w:t>, KONZULTÁCIÍ SO ZAINTERESOVANÝMI STRANAMI A POSÚDENÍ VPLYVU</w:t>
      </w:r>
    </w:p>
    <w:p w14:paraId="5F5D6A9F" w14:textId="77777777" w:rsidR="004901E3" w:rsidRPr="001E2023" w:rsidRDefault="004901E3" w:rsidP="004901E3">
      <w:pPr>
        <w:pStyle w:val="ManualHeading2"/>
        <w:rPr>
          <w:rFonts w:eastAsia="Arial Unicode MS"/>
          <w:noProof/>
          <w:u w:color="000000"/>
          <w:bdr w:val="nil"/>
        </w:rPr>
      </w:pPr>
      <w:r w:rsidRPr="001E2023">
        <w:rPr>
          <w:noProof/>
          <w:u w:color="000000"/>
          <w:bdr w:val="nil"/>
        </w:rPr>
        <w:t>Posúdenie vplyvu</w:t>
      </w:r>
    </w:p>
    <w:p w14:paraId="1DD04DCD" w14:textId="77777777" w:rsidR="004901E3" w:rsidRPr="001E2023" w:rsidRDefault="004901E3" w:rsidP="004901E3">
      <w:pPr>
        <w:rPr>
          <w:noProof/>
        </w:rPr>
      </w:pPr>
      <w:r w:rsidRPr="001E2023">
        <w:rPr>
          <w:noProof/>
        </w:rPr>
        <w:t>V súvislosti</w:t>
      </w:r>
      <w:r w:rsidR="001E2023">
        <w:rPr>
          <w:noProof/>
        </w:rPr>
        <w:t xml:space="preserve"> s </w:t>
      </w:r>
      <w:r w:rsidRPr="001E2023">
        <w:rPr>
          <w:noProof/>
        </w:rPr>
        <w:t>týmto návrhom sa nevykonalo posúdenie vplyvu.</w:t>
      </w:r>
    </w:p>
    <w:p w14:paraId="5B45647F" w14:textId="77777777" w:rsidR="004901E3" w:rsidRPr="001E2023" w:rsidRDefault="004901E3" w:rsidP="004901E3">
      <w:pPr>
        <w:rPr>
          <w:noProof/>
        </w:rPr>
      </w:pPr>
      <w:r w:rsidRPr="001E2023">
        <w:rPr>
          <w:noProof/>
        </w:rPr>
        <w:t>Návrhom sa článok 44 smernice</w:t>
      </w:r>
      <w:r w:rsidR="001E2023">
        <w:rPr>
          <w:noProof/>
        </w:rPr>
        <w:t xml:space="preserve"> o </w:t>
      </w:r>
      <w:r w:rsidRPr="001E2023">
        <w:rPr>
          <w:noProof/>
        </w:rPr>
        <w:t>druhom pilieri uvádza do praxe spôsobom, ktorý je plne</w:t>
      </w:r>
      <w:r w:rsidR="001E2023">
        <w:rPr>
          <w:noProof/>
        </w:rPr>
        <w:t xml:space="preserve"> v </w:t>
      </w:r>
      <w:r w:rsidRPr="001E2023">
        <w:rPr>
          <w:noProof/>
        </w:rPr>
        <w:t>súlade</w:t>
      </w:r>
      <w:r w:rsidR="001E2023">
        <w:rPr>
          <w:noProof/>
        </w:rPr>
        <w:t xml:space="preserve"> s </w:t>
      </w:r>
      <w:r w:rsidRPr="001E2023">
        <w:rPr>
          <w:noProof/>
        </w:rPr>
        <w:t>tým, čo bolo vypracované na globálnej úrovni,</w:t>
      </w:r>
      <w:r w:rsidR="001E2023">
        <w:rPr>
          <w:noProof/>
        </w:rPr>
        <w:t xml:space="preserve"> a </w:t>
      </w:r>
      <w:r w:rsidRPr="001E2023">
        <w:rPr>
          <w:noProof/>
        </w:rPr>
        <w:t>presne to kopíruje. Na výber nie sú žiadne iné možnosti politiky. Okrem toho je politicky naliehavé</w:t>
      </w:r>
      <w:r w:rsidR="001E2023">
        <w:rPr>
          <w:noProof/>
        </w:rPr>
        <w:t xml:space="preserve"> s </w:t>
      </w:r>
      <w:r w:rsidRPr="001E2023">
        <w:rPr>
          <w:noProof/>
        </w:rPr>
        <w:t>návrhom pokročiť, keďže prvé oznámenia sa budú musieť podať do 30</w:t>
      </w:r>
      <w:r w:rsidR="001E2023">
        <w:rPr>
          <w:noProof/>
        </w:rPr>
        <w:t>. júna</w:t>
      </w:r>
      <w:r w:rsidRPr="001E2023">
        <w:rPr>
          <w:noProof/>
        </w:rPr>
        <w:t> 2026, čo je termín stanovený</w:t>
      </w:r>
      <w:r w:rsidR="001E2023">
        <w:rPr>
          <w:noProof/>
        </w:rPr>
        <w:t xml:space="preserve"> v </w:t>
      </w:r>
      <w:r w:rsidRPr="001E2023">
        <w:rPr>
          <w:noProof/>
        </w:rPr>
        <w:t>smernici</w:t>
      </w:r>
      <w:r w:rsidR="001E2023">
        <w:rPr>
          <w:noProof/>
        </w:rPr>
        <w:t xml:space="preserve"> o </w:t>
      </w:r>
      <w:r w:rsidRPr="001E2023">
        <w:rPr>
          <w:noProof/>
        </w:rPr>
        <w:t>druhom pilieri. To znamená, že je nevyhnutné, aby bol</w:t>
      </w:r>
      <w:r w:rsidR="001E2023">
        <w:rPr>
          <w:noProof/>
        </w:rPr>
        <w:t xml:space="preserve"> k </w:t>
      </w:r>
      <w:r w:rsidRPr="001E2023">
        <w:rPr>
          <w:noProof/>
        </w:rPr>
        <w:t>dispozícii rýchly postup prijatia</w:t>
      </w:r>
      <w:r w:rsidR="001E2023">
        <w:rPr>
          <w:noProof/>
        </w:rPr>
        <w:t xml:space="preserve"> a </w:t>
      </w:r>
      <w:r w:rsidRPr="001E2023">
        <w:rPr>
          <w:noProof/>
        </w:rPr>
        <w:t>zavedenia tejto iniciatívy členskými štátmi.</w:t>
      </w:r>
    </w:p>
    <w:p w14:paraId="102D50BA" w14:textId="77777777" w:rsidR="004901E3" w:rsidRPr="001E2023" w:rsidRDefault="004901E3" w:rsidP="004901E3">
      <w:pPr>
        <w:pStyle w:val="ManualHeading2"/>
        <w:rPr>
          <w:rFonts w:eastAsia="Arial Unicode MS"/>
          <w:noProof/>
          <w:u w:color="000000"/>
          <w:bdr w:val="nil"/>
        </w:rPr>
      </w:pPr>
      <w:r w:rsidRPr="001E2023">
        <w:rPr>
          <w:noProof/>
          <w:u w:color="000000"/>
          <w:bdr w:val="nil"/>
        </w:rPr>
        <w:t>Základné práva</w:t>
      </w:r>
    </w:p>
    <w:p w14:paraId="357EBB53" w14:textId="77777777" w:rsidR="00CF4E52" w:rsidRPr="001E2023" w:rsidRDefault="004901E3" w:rsidP="004901E3">
      <w:pPr>
        <w:pBdr>
          <w:top w:val="nil"/>
          <w:left w:val="nil"/>
          <w:bottom w:val="nil"/>
          <w:right w:val="nil"/>
          <w:between w:val="nil"/>
          <w:bar w:val="nil"/>
        </w:pBdr>
        <w:spacing w:before="0" w:after="240"/>
        <w:rPr>
          <w:rFonts w:eastAsia="Arial Unicode MS"/>
          <w:noProof/>
        </w:rPr>
      </w:pPr>
      <w:r w:rsidRPr="001E2023">
        <w:rPr>
          <w:noProof/>
        </w:rPr>
        <w:t>Táto navrhovaná smernica rešpektuje základné práva</w:t>
      </w:r>
      <w:r w:rsidR="001E2023">
        <w:rPr>
          <w:noProof/>
        </w:rPr>
        <w:t xml:space="preserve"> a </w:t>
      </w:r>
      <w:r w:rsidRPr="001E2023">
        <w:rPr>
          <w:noProof/>
        </w:rPr>
        <w:t>dodržiava zásady uznávané najmä Chartou základných práv Európskej únie.</w:t>
      </w:r>
    </w:p>
    <w:p w14:paraId="59E52B21" w14:textId="77777777" w:rsidR="004901E3" w:rsidRPr="001E2023" w:rsidRDefault="004901E3" w:rsidP="00CF4E52">
      <w:pPr>
        <w:pStyle w:val="ManualHeading1"/>
        <w:rPr>
          <w:noProof/>
        </w:rPr>
      </w:pPr>
      <w:r w:rsidRPr="001E2023">
        <w:rPr>
          <w:noProof/>
        </w:rPr>
        <w:lastRenderedPageBreak/>
        <w:t>4.</w:t>
      </w:r>
      <w:r w:rsidRPr="001E2023">
        <w:rPr>
          <w:noProof/>
        </w:rPr>
        <w:tab/>
        <w:t>VPLYV NA ROZPOČET</w:t>
      </w:r>
    </w:p>
    <w:p w14:paraId="47B471DF" w14:textId="77777777" w:rsidR="004901E3" w:rsidRPr="001E2023" w:rsidRDefault="004901E3" w:rsidP="004901E3">
      <w:pPr>
        <w:rPr>
          <w:noProof/>
        </w:rPr>
      </w:pPr>
      <w:r w:rsidRPr="001E2023">
        <w:rPr>
          <w:noProof/>
        </w:rPr>
        <w:t>Náklady na vykonanie tohto návrhu sa odhadujú na 3,3 milióna EUR na obdobie rokov 2024 – 2027. Návrh bude financovaný presunom finančných prostriedkov</w:t>
      </w:r>
      <w:r w:rsidR="001E2023">
        <w:rPr>
          <w:noProof/>
        </w:rPr>
        <w:t xml:space="preserve"> z </w:t>
      </w:r>
      <w:r w:rsidRPr="001E2023">
        <w:rPr>
          <w:noProof/>
        </w:rPr>
        <w:t>existujúceho programu Fiscalis. Ďalšie podrobnosti sa uvádzajú</w:t>
      </w:r>
      <w:r w:rsidR="001E2023">
        <w:rPr>
          <w:noProof/>
        </w:rPr>
        <w:t xml:space="preserve"> v </w:t>
      </w:r>
      <w:r w:rsidRPr="001E2023">
        <w:rPr>
          <w:noProof/>
        </w:rPr>
        <w:t>legislatívnom finančnom výkaze.</w:t>
      </w:r>
    </w:p>
    <w:p w14:paraId="70814C87" w14:textId="77777777" w:rsidR="004901E3" w:rsidRPr="001E2023" w:rsidRDefault="004901E3" w:rsidP="004901E3">
      <w:pPr>
        <w:pStyle w:val="ManualHeading1"/>
        <w:rPr>
          <w:noProof/>
        </w:rPr>
      </w:pPr>
      <w:r w:rsidRPr="001E2023">
        <w:rPr>
          <w:noProof/>
        </w:rPr>
        <w:t>5.</w:t>
      </w:r>
      <w:r w:rsidRPr="001E2023">
        <w:rPr>
          <w:noProof/>
        </w:rPr>
        <w:tab/>
        <w:t>OSTATNÉ PRVKY</w:t>
      </w:r>
    </w:p>
    <w:p w14:paraId="2B61D30D" w14:textId="77777777" w:rsidR="004901E3" w:rsidRPr="001E2023" w:rsidRDefault="004901E3" w:rsidP="004901E3">
      <w:pPr>
        <w:pStyle w:val="ManualHeading2"/>
        <w:rPr>
          <w:rFonts w:eastAsia="Arial Unicode MS"/>
          <w:noProof/>
          <w:u w:color="000000"/>
          <w:bdr w:val="nil"/>
        </w:rPr>
      </w:pPr>
      <w:r w:rsidRPr="001E2023">
        <w:rPr>
          <w:noProof/>
          <w:u w:color="000000"/>
          <w:bdr w:val="nil"/>
        </w:rPr>
        <w:t>Podrobné vysvetlenie konkrétnych ustanovení návrhu</w:t>
      </w:r>
    </w:p>
    <w:p w14:paraId="62EA64E0" w14:textId="77777777" w:rsidR="004901E3" w:rsidRPr="001E2023" w:rsidRDefault="004901E3" w:rsidP="004901E3">
      <w:pPr>
        <w:rPr>
          <w:noProof/>
        </w:rPr>
      </w:pPr>
      <w:r w:rsidRPr="001E2023">
        <w:rPr>
          <w:noProof/>
        </w:rPr>
        <w:t>V smernici</w:t>
      </w:r>
      <w:r w:rsidR="001E2023">
        <w:rPr>
          <w:noProof/>
        </w:rPr>
        <w:t xml:space="preserve"> o </w:t>
      </w:r>
      <w:r w:rsidRPr="001E2023">
        <w:rPr>
          <w:noProof/>
        </w:rPr>
        <w:t>druhom pilieri sa predpokladá, že miestne podávanie informácií</w:t>
      </w:r>
      <w:r w:rsidR="001E2023">
        <w:rPr>
          <w:noProof/>
        </w:rPr>
        <w:t xml:space="preserve"> a </w:t>
      </w:r>
      <w:r w:rsidRPr="001E2023">
        <w:rPr>
          <w:noProof/>
        </w:rPr>
        <w:t>oznámení je štandardným pravidlom pre všetky základné subjekty nadnárodného podniku</w:t>
      </w:r>
      <w:r w:rsidR="001E2023">
        <w:rPr>
          <w:noProof/>
        </w:rPr>
        <w:t xml:space="preserve"> v </w:t>
      </w:r>
      <w:r w:rsidRPr="001E2023">
        <w:rPr>
          <w:noProof/>
        </w:rPr>
        <w:t>rámci EÚ. Smernica však umožňuje centrálne podávanie, ak sú splnené dve podmienky: 1. medzi jurisdikciou subjektu určeného na podávanie oznámenia</w:t>
      </w:r>
      <w:r w:rsidR="001E2023">
        <w:rPr>
          <w:noProof/>
        </w:rPr>
        <w:t xml:space="preserve"> s </w:t>
      </w:r>
      <w:r w:rsidRPr="001E2023">
        <w:rPr>
          <w:noProof/>
        </w:rPr>
        <w:t>informáciami na určenie dorovnávacej dane</w:t>
      </w:r>
      <w:r w:rsidR="001E2023">
        <w:rPr>
          <w:noProof/>
        </w:rPr>
        <w:t xml:space="preserve"> v </w:t>
      </w:r>
      <w:r w:rsidRPr="001E2023">
        <w:rPr>
          <w:noProof/>
        </w:rPr>
        <w:t>mene skupiny (t. j. hlavného materského subjektu alebo určeného podávajúceho subjektu)</w:t>
      </w:r>
      <w:r w:rsidR="001E2023">
        <w:rPr>
          <w:noProof/>
        </w:rPr>
        <w:t xml:space="preserve"> a </w:t>
      </w:r>
      <w:r w:rsidRPr="001E2023">
        <w:rPr>
          <w:noProof/>
        </w:rPr>
        <w:t>jurisdikciami základných subjektov je platná dohoda</w:t>
      </w:r>
      <w:r w:rsidR="001E2023">
        <w:rPr>
          <w:noProof/>
        </w:rPr>
        <w:t xml:space="preserve"> o </w:t>
      </w:r>
      <w:r w:rsidRPr="001E2023">
        <w:rPr>
          <w:noProof/>
        </w:rPr>
        <w:t>výmene informácií</w:t>
      </w:r>
      <w:r w:rsidR="001E2023">
        <w:rPr>
          <w:noProof/>
        </w:rPr>
        <w:t xml:space="preserve"> a </w:t>
      </w:r>
      <w:r w:rsidRPr="001E2023">
        <w:rPr>
          <w:noProof/>
        </w:rPr>
        <w:t>2. hlavný materský subjekt alebo určený podávajúci subjekt tak skutočne urobili. Týmto návrhom sa stanovuje rámec výmeny informácií</w:t>
      </w:r>
      <w:r w:rsidR="001E2023">
        <w:rPr>
          <w:noProof/>
        </w:rPr>
        <w:t xml:space="preserve"> v </w:t>
      </w:r>
      <w:r w:rsidRPr="001E2023">
        <w:rPr>
          <w:noProof/>
        </w:rPr>
        <w:t>rámci EÚ, čím sa umožňuje centrálne podávanie informácií</w:t>
      </w:r>
      <w:r w:rsidR="001E2023">
        <w:rPr>
          <w:noProof/>
        </w:rPr>
        <w:t xml:space="preserve"> a </w:t>
      </w:r>
      <w:r w:rsidRPr="001E2023">
        <w:rPr>
          <w:noProof/>
        </w:rPr>
        <w:t>oznámení</w:t>
      </w:r>
      <w:r w:rsidR="001E2023">
        <w:rPr>
          <w:noProof/>
        </w:rPr>
        <w:t xml:space="preserve"> v </w:t>
      </w:r>
      <w:r w:rsidRPr="001E2023">
        <w:rPr>
          <w:noProof/>
        </w:rPr>
        <w:t>rámci EÚ.</w:t>
      </w:r>
    </w:p>
    <w:p w14:paraId="552CC655"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Návrh sa skladá</w:t>
      </w:r>
      <w:r w:rsidR="001E2023">
        <w:rPr>
          <w:noProof/>
        </w:rPr>
        <w:t xml:space="preserve"> z </w:t>
      </w:r>
      <w:r w:rsidRPr="001E2023">
        <w:rPr>
          <w:noProof/>
        </w:rPr>
        <w:t>dvoch častí: a) zo zmien textu DAC</w:t>
      </w:r>
      <w:r w:rsidR="001E2023">
        <w:rPr>
          <w:noProof/>
        </w:rPr>
        <w:t xml:space="preserve"> a </w:t>
      </w:r>
      <w:r w:rsidRPr="001E2023">
        <w:rPr>
          <w:noProof/>
        </w:rPr>
        <w:t>b)</w:t>
      </w:r>
      <w:r w:rsidR="001E2023">
        <w:rPr>
          <w:noProof/>
        </w:rPr>
        <w:t xml:space="preserve"> z </w:t>
      </w:r>
      <w:r w:rsidRPr="001E2023">
        <w:rPr>
          <w:noProof/>
        </w:rPr>
        <w:t>novej prílohy.</w:t>
      </w:r>
    </w:p>
    <w:p w14:paraId="31C1865E" w14:textId="77777777" w:rsidR="004901E3" w:rsidRPr="001E2023" w:rsidRDefault="001E2023" w:rsidP="001E2023">
      <w:pPr>
        <w:pStyle w:val="Point0"/>
        <w:rPr>
          <w:noProof/>
        </w:rPr>
      </w:pPr>
      <w:r>
        <w:rPr>
          <w:noProof/>
        </w:rPr>
        <w:t>a)</w:t>
      </w:r>
      <w:r>
        <w:rPr>
          <w:noProof/>
        </w:rPr>
        <w:tab/>
      </w:r>
      <w:r w:rsidR="004901E3" w:rsidRPr="001E2023">
        <w:rPr>
          <w:noProof/>
        </w:rPr>
        <w:t>Zmeny textu DAC – rámec pre výmenu oznámení</w:t>
      </w:r>
      <w:r>
        <w:rPr>
          <w:noProof/>
        </w:rPr>
        <w:t xml:space="preserve"> s </w:t>
      </w:r>
      <w:r w:rsidR="004901E3" w:rsidRPr="001E2023">
        <w:rPr>
          <w:noProof/>
        </w:rPr>
        <w:t>informáciami na určenie dorovnávacej dane</w:t>
      </w:r>
    </w:p>
    <w:p w14:paraId="684C95AB" w14:textId="77777777" w:rsidR="001E2023" w:rsidRPr="001E2023" w:rsidRDefault="004901E3" w:rsidP="004901E3">
      <w:pPr>
        <w:pBdr>
          <w:top w:val="nil"/>
          <w:left w:val="nil"/>
          <w:bottom w:val="nil"/>
          <w:right w:val="nil"/>
          <w:between w:val="nil"/>
          <w:bar w:val="nil"/>
        </w:pBdr>
        <w:spacing w:before="0" w:after="240"/>
        <w:rPr>
          <w:noProof/>
          <w:spacing w:val="-4"/>
        </w:rPr>
      </w:pPr>
      <w:r w:rsidRPr="001E2023">
        <w:rPr>
          <w:noProof/>
          <w:spacing w:val="-4"/>
        </w:rPr>
        <w:t>Hlavnou zmenou je nový článok 8ae,</w:t>
      </w:r>
      <w:r w:rsidR="001E2023" w:rsidRPr="001E2023">
        <w:rPr>
          <w:noProof/>
          <w:spacing w:val="-4"/>
        </w:rPr>
        <w:t xml:space="preserve"> v </w:t>
      </w:r>
      <w:r w:rsidRPr="001E2023">
        <w:rPr>
          <w:noProof/>
          <w:spacing w:val="-4"/>
        </w:rPr>
        <w:t>ktorom sa stanovuje rámec pre výmenu oznámení</w:t>
      </w:r>
      <w:r w:rsidR="001E2023" w:rsidRPr="001E2023">
        <w:rPr>
          <w:noProof/>
          <w:spacing w:val="-4"/>
        </w:rPr>
        <w:t xml:space="preserve"> s </w:t>
      </w:r>
      <w:r w:rsidRPr="001E2023">
        <w:rPr>
          <w:noProof/>
          <w:spacing w:val="-4"/>
        </w:rPr>
        <w:t>informáciami na určenie dorovnávacej dane. Základné pravidlá podávania oznámení</w:t>
      </w:r>
      <w:r w:rsidR="001E2023" w:rsidRPr="001E2023">
        <w:rPr>
          <w:noProof/>
          <w:spacing w:val="-4"/>
        </w:rPr>
        <w:t xml:space="preserve"> s </w:t>
      </w:r>
      <w:r w:rsidRPr="001E2023">
        <w:rPr>
          <w:noProof/>
          <w:spacing w:val="-4"/>
        </w:rPr>
        <w:t>informáciami na určenie dorovnávacej dane sú stanovené</w:t>
      </w:r>
      <w:r w:rsidR="001E2023" w:rsidRPr="001E2023">
        <w:rPr>
          <w:noProof/>
          <w:spacing w:val="-4"/>
        </w:rPr>
        <w:t xml:space="preserve"> v </w:t>
      </w:r>
      <w:r w:rsidRPr="001E2023">
        <w:rPr>
          <w:noProof/>
          <w:spacing w:val="-4"/>
        </w:rPr>
        <w:t>článku 44 smernice</w:t>
      </w:r>
      <w:r w:rsidR="001E2023" w:rsidRPr="001E2023">
        <w:rPr>
          <w:noProof/>
          <w:spacing w:val="-4"/>
        </w:rPr>
        <w:t xml:space="preserve"> o </w:t>
      </w:r>
      <w:r w:rsidRPr="001E2023">
        <w:rPr>
          <w:noProof/>
          <w:spacing w:val="-4"/>
        </w:rPr>
        <w:t>druhom pilieri, ktorý obsahuje informácie, ktoré majú poskytovať oznamujúce subjekty nadnárodných podnikov alebo veľkých vnútroštátnych skupín, aby daňová správa členských štátov mohla monitorovať, či subjekty patriace do rozsahu pôsobnosti správne uplatňujú pravidlá smernice</w:t>
      </w:r>
      <w:r w:rsidR="001E2023" w:rsidRPr="001E2023">
        <w:rPr>
          <w:noProof/>
          <w:spacing w:val="-4"/>
        </w:rPr>
        <w:t xml:space="preserve"> o </w:t>
      </w:r>
      <w:r w:rsidRPr="001E2023">
        <w:rPr>
          <w:noProof/>
          <w:spacing w:val="-4"/>
        </w:rPr>
        <w:t>druhom pilieri</w:t>
      </w:r>
      <w:r w:rsidR="001E2023" w:rsidRPr="001E2023">
        <w:rPr>
          <w:noProof/>
          <w:spacing w:val="-4"/>
        </w:rPr>
        <w:t>.</w:t>
      </w:r>
    </w:p>
    <w:p w14:paraId="5D16B2F0"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Členské štáty by mali prijať potrebné opatrenia, aby umožnili oznamujúcim subjektom nadnárodného podniku, ktorý je na daňové účely rezidentom</w:t>
      </w:r>
      <w:r w:rsidR="001E2023">
        <w:rPr>
          <w:noProof/>
        </w:rPr>
        <w:t xml:space="preserve"> v </w:t>
      </w:r>
      <w:r w:rsidRPr="001E2023">
        <w:rPr>
          <w:noProof/>
        </w:rPr>
        <w:t>EÚ, podať oznámenie</w:t>
      </w:r>
      <w:r w:rsidR="001E2023">
        <w:rPr>
          <w:noProof/>
        </w:rPr>
        <w:t xml:space="preserve"> s </w:t>
      </w:r>
      <w:r w:rsidRPr="001E2023">
        <w:rPr>
          <w:noProof/>
        </w:rPr>
        <w:t>informáciami na určenie dorovnávacej dane do 15 mesiacov od posledného dňa vykazovaného účtovného obdobia,</w:t>
      </w:r>
      <w:r w:rsidR="001E2023">
        <w:rPr>
          <w:noProof/>
        </w:rPr>
        <w:t xml:space="preserve"> s </w:t>
      </w:r>
      <w:r w:rsidRPr="001E2023">
        <w:rPr>
          <w:noProof/>
        </w:rPr>
        <w:t>výnimkou prvého vykazovaného účtovného obdobia,</w:t>
      </w:r>
      <w:r w:rsidR="001E2023">
        <w:rPr>
          <w:noProof/>
        </w:rPr>
        <w:t xml:space="preserve"> v </w:t>
      </w:r>
      <w:r w:rsidRPr="001E2023">
        <w:rPr>
          <w:noProof/>
        </w:rPr>
        <w:t>ktorom sa podanie musí uskutočniť najneskôr do 18 mesiacov od posledného dňa vykazovaného účtovného obdobia. Tieto lehoty sú stanovené</w:t>
      </w:r>
      <w:r w:rsidR="001E2023">
        <w:rPr>
          <w:noProof/>
        </w:rPr>
        <w:t xml:space="preserve"> v </w:t>
      </w:r>
      <w:r w:rsidRPr="001E2023">
        <w:rPr>
          <w:noProof/>
        </w:rPr>
        <w:t>článku 44 ods. 7</w:t>
      </w:r>
      <w:r w:rsidR="001E2023">
        <w:rPr>
          <w:noProof/>
        </w:rPr>
        <w:t xml:space="preserve"> a </w:t>
      </w:r>
      <w:r w:rsidRPr="001E2023">
        <w:rPr>
          <w:noProof/>
        </w:rPr>
        <w:t>článku 51 smernice</w:t>
      </w:r>
      <w:r w:rsidR="001E2023">
        <w:rPr>
          <w:noProof/>
        </w:rPr>
        <w:t xml:space="preserve"> o </w:t>
      </w:r>
      <w:r w:rsidRPr="001E2023">
        <w:rPr>
          <w:noProof/>
        </w:rPr>
        <w:t>druhom pilieri. Po podaní oznámenia</w:t>
      </w:r>
      <w:r w:rsidR="001E2023">
        <w:rPr>
          <w:noProof/>
        </w:rPr>
        <w:t xml:space="preserve"> s </w:t>
      </w:r>
      <w:r w:rsidRPr="001E2023">
        <w:rPr>
          <w:noProof/>
        </w:rPr>
        <w:t>informáciami na určenie dorovnávacej dane</w:t>
      </w:r>
      <w:r w:rsidR="001E2023">
        <w:rPr>
          <w:noProof/>
        </w:rPr>
        <w:t xml:space="preserve"> v </w:t>
      </w:r>
      <w:r w:rsidRPr="001E2023">
        <w:rPr>
          <w:noProof/>
        </w:rPr>
        <w:t>členskom štáte príslušný orgán uvedeného členského štátu zašle príslušné časti tohto oznámenia relevantným príslušným orgánom ostatných členských štátov.</w:t>
      </w:r>
    </w:p>
    <w:p w14:paraId="4ADB77A8"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Príslušné orgány informujú</w:t>
      </w:r>
      <w:r w:rsidR="001E2023">
        <w:rPr>
          <w:noProof/>
        </w:rPr>
        <w:t xml:space="preserve"> o </w:t>
      </w:r>
      <w:r w:rsidRPr="001E2023">
        <w:rPr>
          <w:noProof/>
        </w:rPr>
        <w:t>oznámení</w:t>
      </w:r>
      <w:r w:rsidR="001E2023">
        <w:rPr>
          <w:noProof/>
        </w:rPr>
        <w:t xml:space="preserve"> s </w:t>
      </w:r>
      <w:r w:rsidRPr="001E2023">
        <w:rPr>
          <w:noProof/>
        </w:rPr>
        <w:t>informáciami na určenie dorovnávacej dane týmto spôsobom (t. j. „prístup šírenia“)</w:t>
      </w:r>
      <w:r w:rsidR="001E2023" w:rsidRPr="001E2023">
        <w:rPr>
          <w:noProof/>
        </w:rPr>
        <w:t>:</w:t>
      </w:r>
    </w:p>
    <w:p w14:paraId="608A3308" w14:textId="77777777" w:rsidR="004901E3" w:rsidRPr="001E2023" w:rsidRDefault="004901E3" w:rsidP="004901E3">
      <w:pPr>
        <w:pStyle w:val="Bullet0"/>
        <w:numPr>
          <w:ilvl w:val="0"/>
          <w:numId w:val="19"/>
        </w:numPr>
        <w:rPr>
          <w:noProof/>
        </w:rPr>
      </w:pPr>
      <w:r w:rsidRPr="001E2023">
        <w:rPr>
          <w:noProof/>
        </w:rPr>
        <w:t>členský štát hlavného materského subjektu nadnárodného podniku dostane úplné oznámenie</w:t>
      </w:r>
      <w:r w:rsidR="001E2023">
        <w:rPr>
          <w:noProof/>
        </w:rPr>
        <w:t xml:space="preserve"> s </w:t>
      </w:r>
      <w:r w:rsidRPr="001E2023">
        <w:rPr>
          <w:noProof/>
        </w:rPr>
        <w:t>informáciami na určenie dorovnávacej dane,</w:t>
      </w:r>
    </w:p>
    <w:p w14:paraId="30D4B34B" w14:textId="77777777" w:rsidR="004901E3" w:rsidRPr="001E2023" w:rsidRDefault="004901E3" w:rsidP="004901E3">
      <w:pPr>
        <w:pStyle w:val="Bullet0"/>
        <w:rPr>
          <w:noProof/>
        </w:rPr>
      </w:pPr>
      <w:r w:rsidRPr="001E2023">
        <w:rPr>
          <w:noProof/>
        </w:rPr>
        <w:t>všetky vykonávajúce členské štáty dostanú úplnú všeobecnú časť oznámenia</w:t>
      </w:r>
      <w:r w:rsidR="001E2023">
        <w:rPr>
          <w:noProof/>
        </w:rPr>
        <w:t xml:space="preserve"> s </w:t>
      </w:r>
      <w:r w:rsidRPr="001E2023">
        <w:rPr>
          <w:noProof/>
        </w:rPr>
        <w:t>informáciami na určenie dorovnávacej dane,</w:t>
      </w:r>
    </w:p>
    <w:p w14:paraId="6AEF019C" w14:textId="77777777" w:rsidR="004901E3" w:rsidRPr="001E2023" w:rsidRDefault="004901E3" w:rsidP="004901E3">
      <w:pPr>
        <w:pStyle w:val="Bullet0"/>
        <w:rPr>
          <w:noProof/>
        </w:rPr>
      </w:pPr>
      <w:r w:rsidRPr="001E2023">
        <w:rPr>
          <w:noProof/>
        </w:rPr>
        <w:t>členské štáty uplatňujúce len kvalifikovanú vnútroštátnu dorovnávaciu daň,</w:t>
      </w:r>
      <w:r w:rsidR="001E2023">
        <w:rPr>
          <w:noProof/>
        </w:rPr>
        <w:t xml:space="preserve"> v </w:t>
      </w:r>
      <w:r w:rsidRPr="001E2023">
        <w:rPr>
          <w:noProof/>
        </w:rPr>
        <w:t>ktorých sa nachádzajú základné subjekty nadnárodného podniku, dostanú relevantné časti všeobecného oddielu oznámenia</w:t>
      </w:r>
      <w:r w:rsidR="001E2023">
        <w:rPr>
          <w:noProof/>
        </w:rPr>
        <w:t xml:space="preserve"> s </w:t>
      </w:r>
      <w:r w:rsidRPr="001E2023">
        <w:rPr>
          <w:noProof/>
        </w:rPr>
        <w:t>informáciami na určenie dorovnávacej dane,</w:t>
      </w:r>
    </w:p>
    <w:p w14:paraId="6E1DB4CE" w14:textId="77777777" w:rsidR="004901E3" w:rsidRPr="001E2023" w:rsidRDefault="004901E3" w:rsidP="004901E3">
      <w:pPr>
        <w:pStyle w:val="Bullet0"/>
        <w:rPr>
          <w:noProof/>
        </w:rPr>
      </w:pPr>
      <w:r w:rsidRPr="001E2023">
        <w:rPr>
          <w:noProof/>
        </w:rPr>
        <w:lastRenderedPageBreak/>
        <w:t>členské štáty, ktoré majú práva zdaňovať podľa smernice</w:t>
      </w:r>
      <w:r w:rsidR="001E2023">
        <w:rPr>
          <w:noProof/>
        </w:rPr>
        <w:t xml:space="preserve"> o </w:t>
      </w:r>
      <w:r w:rsidRPr="001E2023">
        <w:rPr>
          <w:noProof/>
        </w:rPr>
        <w:t>druhom pilieri, dostanú konkrétne jurisdikčné oddiely.</w:t>
      </w:r>
    </w:p>
    <w:p w14:paraId="04AE3BD9"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Relevantné časti oznámenia</w:t>
      </w:r>
      <w:r w:rsidR="001E2023">
        <w:rPr>
          <w:noProof/>
        </w:rPr>
        <w:t xml:space="preserve"> s </w:t>
      </w:r>
      <w:r w:rsidRPr="001E2023">
        <w:rPr>
          <w:noProof/>
        </w:rPr>
        <w:t>informáciami na určenie dorovnávacej dane by sa mali vymeniť čo najskôr</w:t>
      </w:r>
      <w:r w:rsidR="001E2023">
        <w:rPr>
          <w:noProof/>
        </w:rPr>
        <w:t xml:space="preserve"> a v </w:t>
      </w:r>
      <w:r w:rsidRPr="001E2023">
        <w:rPr>
          <w:noProof/>
        </w:rPr>
        <w:t>každom prípade najneskôr do troch mesiacov od lehoty na podanie informácií</w:t>
      </w:r>
      <w:r w:rsidR="001E2023">
        <w:rPr>
          <w:noProof/>
        </w:rPr>
        <w:t xml:space="preserve"> a </w:t>
      </w:r>
      <w:r w:rsidRPr="001E2023">
        <w:rPr>
          <w:noProof/>
        </w:rPr>
        <w:t>oznámení za uveden</w:t>
      </w:r>
      <w:r w:rsidR="00004B70" w:rsidRPr="001E2023">
        <w:rPr>
          <w:noProof/>
        </w:rPr>
        <w:t>é</w:t>
      </w:r>
      <w:r w:rsidRPr="001E2023">
        <w:rPr>
          <w:noProof/>
        </w:rPr>
        <w:t xml:space="preserve"> </w:t>
      </w:r>
      <w:r w:rsidR="00004B70" w:rsidRPr="001E2023">
        <w:rPr>
          <w:noProof/>
        </w:rPr>
        <w:t>vykazované účtovné obdobie</w:t>
      </w:r>
      <w:r w:rsidRPr="001E2023">
        <w:rPr>
          <w:noProof/>
        </w:rPr>
        <w:t>.</w:t>
      </w:r>
      <w:r w:rsidR="001E2023">
        <w:rPr>
          <w:noProof/>
        </w:rPr>
        <w:t xml:space="preserve"> V </w:t>
      </w:r>
      <w:r w:rsidRPr="001E2023">
        <w:rPr>
          <w:noProof/>
        </w:rPr>
        <w:t>prvom roku uplatňovania smernice</w:t>
      </w:r>
      <w:r w:rsidR="001E2023">
        <w:rPr>
          <w:noProof/>
        </w:rPr>
        <w:t xml:space="preserve"> o </w:t>
      </w:r>
      <w:r w:rsidRPr="001E2023">
        <w:rPr>
          <w:noProof/>
        </w:rPr>
        <w:t xml:space="preserve">druhom pilieri (t. j. </w:t>
      </w:r>
      <w:r w:rsidR="00004B70" w:rsidRPr="001E2023">
        <w:rPr>
          <w:noProof/>
        </w:rPr>
        <w:t xml:space="preserve">vykazované účtovné obdobie </w:t>
      </w:r>
      <w:r w:rsidRPr="001E2023">
        <w:rPr>
          <w:noProof/>
        </w:rPr>
        <w:t>2024) je lehota na výmenu informácií šesť mesiacov od lehoty na podanie informácií</w:t>
      </w:r>
      <w:r w:rsidR="001E2023">
        <w:rPr>
          <w:noProof/>
        </w:rPr>
        <w:t xml:space="preserve"> a </w:t>
      </w:r>
      <w:r w:rsidRPr="001E2023">
        <w:rPr>
          <w:noProof/>
        </w:rPr>
        <w:t>oznámení. Oznámenia</w:t>
      </w:r>
      <w:r w:rsidR="001E2023">
        <w:rPr>
          <w:noProof/>
        </w:rPr>
        <w:t xml:space="preserve"> s </w:t>
      </w:r>
      <w:r w:rsidRPr="001E2023">
        <w:rPr>
          <w:noProof/>
        </w:rPr>
        <w:t>informáciami na určenie dorovnávacej dane prijaté po lehote na podanie by sa mali takisto vymeniť hneď po ich prijatí</w:t>
      </w:r>
      <w:r w:rsidR="001E2023">
        <w:rPr>
          <w:noProof/>
        </w:rPr>
        <w:t xml:space="preserve"> a v </w:t>
      </w:r>
      <w:r w:rsidRPr="001E2023">
        <w:rPr>
          <w:noProof/>
        </w:rPr>
        <w:t>každom prípade najneskôr do troch mesiacov od ich prijatia</w:t>
      </w:r>
      <w:r w:rsidR="001E2023" w:rsidRPr="001E2023">
        <w:rPr>
          <w:noProof/>
        </w:rPr>
        <w:t>.</w:t>
      </w:r>
    </w:p>
    <w:p w14:paraId="2B3AB4CC" w14:textId="77777777" w:rsidR="004901E3" w:rsidRPr="001E2023" w:rsidRDefault="004901E3" w:rsidP="004901E3">
      <w:pPr>
        <w:pBdr>
          <w:top w:val="nil"/>
          <w:left w:val="nil"/>
          <w:bottom w:val="nil"/>
          <w:right w:val="nil"/>
          <w:between w:val="nil"/>
          <w:bar w:val="nil"/>
        </w:pBdr>
        <w:spacing w:before="0" w:after="240"/>
        <w:rPr>
          <w:noProof/>
        </w:rPr>
      </w:pPr>
      <w:r w:rsidRPr="001E2023">
        <w:rPr>
          <w:noProof/>
        </w:rPr>
        <w:t>Poskytovanie informácií príslušným orgánom iných členských štátov sa bude uskutočňovať prostredníctvom štandardného elektronického formulára, ktorý Komisia vypracuje prostredníctvom vykonávacieho aktu.</w:t>
      </w:r>
    </w:p>
    <w:p w14:paraId="0636BC19"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Pre členské štáty, ktoré sa rozhodli neuplatňovať kvalifikované pravidlo zahrnutia príjmov</w:t>
      </w:r>
      <w:r w:rsidR="001E2023">
        <w:rPr>
          <w:noProof/>
        </w:rPr>
        <w:t xml:space="preserve"> a </w:t>
      </w:r>
      <w:r w:rsidRPr="001E2023">
        <w:rPr>
          <w:noProof/>
        </w:rPr>
        <w:t>kvalifikované pravidlo pre nedostatočne zdanené zisky podľa článku 50 ods. 1 smernice</w:t>
      </w:r>
      <w:r w:rsidR="001E2023">
        <w:rPr>
          <w:noProof/>
        </w:rPr>
        <w:t xml:space="preserve"> o </w:t>
      </w:r>
      <w:r w:rsidRPr="001E2023">
        <w:rPr>
          <w:noProof/>
        </w:rPr>
        <w:t>druhom pilieri, sa uplatňovanie pravidiel tejto smernice takisto odkladá</w:t>
      </w:r>
      <w:r w:rsidR="001E2023" w:rsidRPr="001E2023">
        <w:rPr>
          <w:noProof/>
        </w:rPr>
        <w:t>.</w:t>
      </w:r>
    </w:p>
    <w:p w14:paraId="7CDAB138" w14:textId="77777777" w:rsidR="001E2023" w:rsidRPr="001E2023" w:rsidRDefault="004901E3" w:rsidP="002025A1">
      <w:pPr>
        <w:rPr>
          <w:noProof/>
        </w:rPr>
      </w:pPr>
      <w:r w:rsidRPr="001E2023">
        <w:rPr>
          <w:noProof/>
        </w:rPr>
        <w:t>V novom článku 9a sa stanovuje možnosť, aby sa príslušný orgán informoval</w:t>
      </w:r>
      <w:r w:rsidR="001E2023">
        <w:rPr>
          <w:noProof/>
        </w:rPr>
        <w:t xml:space="preserve"> o </w:t>
      </w:r>
      <w:r w:rsidRPr="001E2023">
        <w:rPr>
          <w:noProof/>
        </w:rPr>
        <w:t>oznámení</w:t>
      </w:r>
      <w:r w:rsidR="001E2023">
        <w:rPr>
          <w:noProof/>
        </w:rPr>
        <w:t xml:space="preserve"> s </w:t>
      </w:r>
      <w:r w:rsidRPr="001E2023">
        <w:rPr>
          <w:noProof/>
        </w:rPr>
        <w:t>informáciami na určenie dorovnávacej dane,</w:t>
      </w:r>
      <w:r w:rsidR="001E2023">
        <w:rPr>
          <w:noProof/>
        </w:rPr>
        <w:t xml:space="preserve"> v </w:t>
      </w:r>
      <w:r w:rsidRPr="001E2023">
        <w:rPr>
          <w:noProof/>
        </w:rPr>
        <w:t>prípade ktorého bolo oznámené centrálne podanie, ale ktoré nebolo vymenené. Príslušný orgán členského štátu,</w:t>
      </w:r>
      <w:r w:rsidR="001E2023">
        <w:rPr>
          <w:noProof/>
        </w:rPr>
        <w:t xml:space="preserve"> v </w:t>
      </w:r>
      <w:r w:rsidRPr="001E2023">
        <w:rPr>
          <w:noProof/>
        </w:rPr>
        <w:t>ktorom má podávajúci subjekt sídlo na účely smernice</w:t>
      </w:r>
      <w:r w:rsidR="001E2023">
        <w:rPr>
          <w:noProof/>
        </w:rPr>
        <w:t xml:space="preserve"> o </w:t>
      </w:r>
      <w:r w:rsidRPr="001E2023">
        <w:rPr>
          <w:noProof/>
        </w:rPr>
        <w:t>druhom pilieri, môže potom overiť, či bolo takéto oznámenie podané,</w:t>
      </w:r>
      <w:r w:rsidR="001E2023">
        <w:rPr>
          <w:noProof/>
        </w:rPr>
        <w:t xml:space="preserve"> a </w:t>
      </w:r>
      <w:r w:rsidRPr="001E2023">
        <w:rPr>
          <w:noProof/>
        </w:rPr>
        <w:t>ak ešte podané nebolo, informovať sa</w:t>
      </w:r>
      <w:r w:rsidR="001E2023">
        <w:rPr>
          <w:noProof/>
        </w:rPr>
        <w:t xml:space="preserve"> o </w:t>
      </w:r>
      <w:r w:rsidRPr="001E2023">
        <w:rPr>
          <w:noProof/>
        </w:rPr>
        <w:t>očakávanom dátume podania. Ak oznámenie</w:t>
      </w:r>
      <w:r w:rsidR="001E2023">
        <w:rPr>
          <w:noProof/>
        </w:rPr>
        <w:t xml:space="preserve"> s </w:t>
      </w:r>
      <w:r w:rsidRPr="001E2023">
        <w:rPr>
          <w:noProof/>
        </w:rPr>
        <w:t>informáciami na určenie dorovnávacej dane nebude doručené do troch mesiacov od nového očakávaného dátumu podania, základným subjektom nadnárodného podniku sa môžu uložiť požiadavky na miestne podanie</w:t>
      </w:r>
      <w:r w:rsidR="001E2023">
        <w:rPr>
          <w:noProof/>
        </w:rPr>
        <w:t xml:space="preserve"> s </w:t>
      </w:r>
      <w:r w:rsidRPr="001E2023">
        <w:rPr>
          <w:noProof/>
        </w:rPr>
        <w:t>cieľom získať oznámenie</w:t>
      </w:r>
      <w:r w:rsidR="001E2023">
        <w:rPr>
          <w:noProof/>
        </w:rPr>
        <w:t xml:space="preserve"> s </w:t>
      </w:r>
      <w:r w:rsidRPr="001E2023">
        <w:rPr>
          <w:noProof/>
        </w:rPr>
        <w:t>informáciami na určenie dorovnávacej dane, keďže neboli splnené podmienky na centrálne podanie. Na druhej strane pred uplynutím uvedenej lehoty nemožno základným subjektom uložiť požiadavku na miestne podanie</w:t>
      </w:r>
      <w:r w:rsidR="001E2023" w:rsidRPr="001E2023">
        <w:rPr>
          <w:noProof/>
        </w:rPr>
        <w:t>.</w:t>
      </w:r>
    </w:p>
    <w:p w14:paraId="6CCD9CA3" w14:textId="77777777" w:rsidR="001E2023" w:rsidRPr="001E2023" w:rsidRDefault="004901E3" w:rsidP="002025A1">
      <w:pPr>
        <w:rPr>
          <w:noProof/>
        </w:rPr>
      </w:pPr>
      <w:r w:rsidRPr="001E2023">
        <w:rPr>
          <w:noProof/>
        </w:rPr>
        <w:t>Okrem toho, ak bolo prijaté oznámenie</w:t>
      </w:r>
      <w:r w:rsidR="001E2023">
        <w:rPr>
          <w:noProof/>
        </w:rPr>
        <w:t xml:space="preserve"> s </w:t>
      </w:r>
      <w:r w:rsidRPr="001E2023">
        <w:rPr>
          <w:noProof/>
        </w:rPr>
        <w:t>informáciami na určenie dorovnávacej dane</w:t>
      </w:r>
      <w:r w:rsidR="001E2023">
        <w:rPr>
          <w:noProof/>
        </w:rPr>
        <w:t xml:space="preserve"> a </w:t>
      </w:r>
      <w:r w:rsidRPr="001E2023">
        <w:rPr>
          <w:noProof/>
        </w:rPr>
        <w:t>príslušný orgán má po overení dôvod domnievať sa, že si vyžaduje opravy, mal by to oznámiť príslušnému orgánu odosielajúceho členského štátu. Odosielajúci príslušný orgán by mal bezodkladne prijať vhodné opatrenia na získanie opraveného oznámenia</w:t>
      </w:r>
      <w:r w:rsidR="001E2023">
        <w:rPr>
          <w:noProof/>
        </w:rPr>
        <w:t xml:space="preserve"> s </w:t>
      </w:r>
      <w:r w:rsidRPr="001E2023">
        <w:rPr>
          <w:noProof/>
        </w:rPr>
        <w:t>informáciami na určenie dorovnávacej dane od podávajúceho subjektu</w:t>
      </w:r>
      <w:r w:rsidR="001E2023">
        <w:rPr>
          <w:noProof/>
        </w:rPr>
        <w:t xml:space="preserve"> a </w:t>
      </w:r>
      <w:r w:rsidRPr="001E2023">
        <w:rPr>
          <w:noProof/>
        </w:rPr>
        <w:t>vymeniť si ho</w:t>
      </w:r>
      <w:r w:rsidR="001E2023">
        <w:rPr>
          <w:noProof/>
        </w:rPr>
        <w:t xml:space="preserve"> s </w:t>
      </w:r>
      <w:r w:rsidRPr="001E2023">
        <w:rPr>
          <w:noProof/>
        </w:rPr>
        <w:t>relevantnými príslušnými orgánmi členských štátov</w:t>
      </w:r>
      <w:r w:rsidR="001E2023" w:rsidRPr="001E2023">
        <w:rPr>
          <w:noProof/>
        </w:rPr>
        <w:t>.</w:t>
      </w:r>
    </w:p>
    <w:p w14:paraId="26FF1D9D" w14:textId="77777777" w:rsidR="004901E3" w:rsidRPr="001E2023" w:rsidRDefault="001E2023" w:rsidP="001E2023">
      <w:pPr>
        <w:pStyle w:val="Point0"/>
        <w:rPr>
          <w:noProof/>
        </w:rPr>
      </w:pPr>
      <w:r>
        <w:rPr>
          <w:noProof/>
        </w:rPr>
        <w:t>b)</w:t>
      </w:r>
      <w:r>
        <w:rPr>
          <w:noProof/>
        </w:rPr>
        <w:tab/>
      </w:r>
      <w:r w:rsidR="004901E3" w:rsidRPr="001E2023">
        <w:rPr>
          <w:noProof/>
        </w:rPr>
        <w:t>Príloha VII</w:t>
      </w:r>
    </w:p>
    <w:p w14:paraId="241FE861" w14:textId="77777777" w:rsidR="001E2023" w:rsidRPr="001E2023" w:rsidRDefault="004901E3" w:rsidP="004901E3">
      <w:pPr>
        <w:pBdr>
          <w:top w:val="nil"/>
          <w:left w:val="nil"/>
          <w:bottom w:val="nil"/>
          <w:right w:val="nil"/>
          <w:between w:val="nil"/>
          <w:bar w:val="nil"/>
        </w:pBdr>
        <w:spacing w:before="0" w:after="240"/>
        <w:rPr>
          <w:noProof/>
        </w:rPr>
      </w:pPr>
      <w:r w:rsidRPr="001E2023">
        <w:rPr>
          <w:noProof/>
        </w:rPr>
        <w:t>Návrhom sa</w:t>
      </w:r>
      <w:r w:rsidR="001E2023">
        <w:rPr>
          <w:noProof/>
        </w:rPr>
        <w:t xml:space="preserve"> k </w:t>
      </w:r>
      <w:r w:rsidRPr="001E2023">
        <w:rPr>
          <w:noProof/>
        </w:rPr>
        <w:t>DAC pripája nová príloha VII.</w:t>
      </w:r>
      <w:r w:rsidR="001E2023">
        <w:rPr>
          <w:noProof/>
        </w:rPr>
        <w:t xml:space="preserve"> V </w:t>
      </w:r>
      <w:r w:rsidRPr="001E2023">
        <w:rPr>
          <w:noProof/>
        </w:rPr>
        <w:t>prvom oddiele sa vymedzujú niektoré pojmy použité</w:t>
      </w:r>
      <w:r w:rsidR="001E2023">
        <w:rPr>
          <w:noProof/>
        </w:rPr>
        <w:t xml:space="preserve"> v </w:t>
      </w:r>
      <w:r w:rsidRPr="001E2023">
        <w:rPr>
          <w:noProof/>
        </w:rPr>
        <w:t>prílohe</w:t>
      </w:r>
      <w:r w:rsidR="001E2023">
        <w:rPr>
          <w:noProof/>
        </w:rPr>
        <w:t xml:space="preserve"> a v </w:t>
      </w:r>
      <w:r w:rsidRPr="001E2023">
        <w:rPr>
          <w:noProof/>
        </w:rPr>
        <w:t>príslušných článkoch DAC.</w:t>
      </w:r>
      <w:r w:rsidR="001E2023">
        <w:rPr>
          <w:noProof/>
        </w:rPr>
        <w:t xml:space="preserve"> V </w:t>
      </w:r>
      <w:r w:rsidRPr="001E2023">
        <w:rPr>
          <w:noProof/>
        </w:rPr>
        <w:t>druhom oddiele sa opisujú pravidlá podávania informácií</w:t>
      </w:r>
      <w:r w:rsidR="001E2023">
        <w:rPr>
          <w:noProof/>
        </w:rPr>
        <w:t xml:space="preserve"> a </w:t>
      </w:r>
      <w:r w:rsidRPr="001E2023">
        <w:rPr>
          <w:noProof/>
        </w:rPr>
        <w:t>oznámení, ktoré sa vzťahujú na podávajúci subjekt nadnárodného podniku. Tretí oddiel zahŕňa oznámenie</w:t>
      </w:r>
      <w:r w:rsidR="001E2023">
        <w:rPr>
          <w:noProof/>
        </w:rPr>
        <w:t xml:space="preserve"> s </w:t>
      </w:r>
      <w:r w:rsidRPr="001E2023">
        <w:rPr>
          <w:noProof/>
        </w:rPr>
        <w:t>informáciami na určenie dorovnávacej dane (ktoré je plne</w:t>
      </w:r>
      <w:r w:rsidR="001E2023">
        <w:rPr>
          <w:noProof/>
        </w:rPr>
        <w:t xml:space="preserve"> v </w:t>
      </w:r>
      <w:r w:rsidRPr="001E2023">
        <w:rPr>
          <w:noProof/>
        </w:rPr>
        <w:t>súlade</w:t>
      </w:r>
      <w:r w:rsidR="001E2023">
        <w:rPr>
          <w:noProof/>
        </w:rPr>
        <w:t xml:space="preserve"> s </w:t>
      </w:r>
      <w:r w:rsidRPr="001E2023">
        <w:rPr>
          <w:noProof/>
        </w:rPr>
        <w:t>GIR vypracovaným OECD)</w:t>
      </w:r>
      <w:r w:rsidR="001E2023">
        <w:rPr>
          <w:noProof/>
        </w:rPr>
        <w:t xml:space="preserve"> a </w:t>
      </w:r>
      <w:r w:rsidRPr="001E2023">
        <w:rPr>
          <w:noProof/>
        </w:rPr>
        <w:t>zosúlaďuje ho so smernicou</w:t>
      </w:r>
      <w:r w:rsidR="001E2023">
        <w:rPr>
          <w:noProof/>
        </w:rPr>
        <w:t xml:space="preserve"> o </w:t>
      </w:r>
      <w:r w:rsidRPr="001E2023">
        <w:rPr>
          <w:noProof/>
        </w:rPr>
        <w:t>druhom pilieri. Komisia môže prostredníctvom delegovaného aktu zmeniť oznámenie</w:t>
      </w:r>
      <w:r w:rsidR="001E2023">
        <w:rPr>
          <w:noProof/>
        </w:rPr>
        <w:t xml:space="preserve"> s </w:t>
      </w:r>
      <w:r w:rsidRPr="001E2023">
        <w:rPr>
          <w:noProof/>
        </w:rPr>
        <w:t>informáciami na určenie dorovnávacej dane tak, aby sa ním zohľadňovala budúca aktualizácia dohodnutá na medzinárodnej úrovni</w:t>
      </w:r>
      <w:r w:rsidR="001E2023" w:rsidRPr="001E2023">
        <w:rPr>
          <w:noProof/>
        </w:rPr>
        <w:t>.</w:t>
      </w:r>
    </w:p>
    <w:p w14:paraId="77228AA1" w14:textId="77777777" w:rsidR="00E547E6" w:rsidRPr="001E2023" w:rsidRDefault="00E547E6" w:rsidP="00E547E6">
      <w:pPr>
        <w:rPr>
          <w:noProof/>
        </w:rPr>
        <w:sectPr w:rsidR="00E547E6" w:rsidRPr="001E2023" w:rsidSect="003F317C">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032D47F1" w14:textId="77777777" w:rsidR="00033B6A" w:rsidRDefault="00541013">
      <w:pPr>
        <w:pStyle w:val="Rfrenceinterinstitutionnelle"/>
        <w:rPr>
          <w:noProof/>
        </w:rPr>
      </w:pPr>
      <w:r>
        <w:rPr>
          <w:noProof/>
        </w:rPr>
        <w:lastRenderedPageBreak/>
        <w:t>2024/0276 (CNS)</w:t>
      </w:r>
    </w:p>
    <w:p w14:paraId="7B2D88FE" w14:textId="77777777" w:rsidR="00EF7953" w:rsidRPr="001E2023" w:rsidRDefault="00443FDB" w:rsidP="00443FDB">
      <w:pPr>
        <w:pStyle w:val="Statut"/>
        <w:rPr>
          <w:noProof/>
        </w:rPr>
      </w:pPr>
      <w:r w:rsidRPr="00443FDB">
        <w:rPr>
          <w:noProof/>
        </w:rPr>
        <w:t>Návrh</w:t>
      </w:r>
    </w:p>
    <w:p w14:paraId="1CED6B12" w14:textId="77777777" w:rsidR="00EF7953" w:rsidRPr="001E2023" w:rsidRDefault="00443FDB" w:rsidP="00443FDB">
      <w:pPr>
        <w:pStyle w:val="Typedudocument"/>
        <w:rPr>
          <w:noProof/>
        </w:rPr>
      </w:pPr>
      <w:r w:rsidRPr="00443FDB">
        <w:rPr>
          <w:noProof/>
        </w:rPr>
        <w:t>SMERNICA RADY,</w:t>
      </w:r>
    </w:p>
    <w:p w14:paraId="5B314038" w14:textId="77777777" w:rsidR="00EF7953" w:rsidRPr="001E2023" w:rsidRDefault="00443FDB" w:rsidP="00443FDB">
      <w:pPr>
        <w:pStyle w:val="Titreobjet"/>
        <w:rPr>
          <w:noProof/>
        </w:rPr>
      </w:pPr>
      <w:r w:rsidRPr="00443FDB">
        <w:rPr>
          <w:noProof/>
        </w:rPr>
        <w:t>ktorou sa mení smernica 2011/16/EÚ o administratívnej spolupráci v oblasti daní</w:t>
      </w:r>
    </w:p>
    <w:p w14:paraId="0B798468" w14:textId="77777777" w:rsidR="00EF7953" w:rsidRPr="001E2023" w:rsidRDefault="00EF7953">
      <w:pPr>
        <w:pStyle w:val="Institutionquiagit"/>
        <w:rPr>
          <w:noProof/>
        </w:rPr>
      </w:pPr>
      <w:r w:rsidRPr="001E2023">
        <w:rPr>
          <w:noProof/>
        </w:rPr>
        <w:t>RADA EURÓPSKEJ ÚNIE,</w:t>
      </w:r>
    </w:p>
    <w:p w14:paraId="4FD93803" w14:textId="77777777" w:rsidR="00EF7953" w:rsidRPr="001E2023" w:rsidRDefault="00EF7953">
      <w:pPr>
        <w:rPr>
          <w:noProof/>
        </w:rPr>
      </w:pPr>
      <w:r w:rsidRPr="001E2023">
        <w:rPr>
          <w:noProof/>
        </w:rPr>
        <w:t>so zreteľom na Zmluvu</w:t>
      </w:r>
      <w:r w:rsidR="001E2023">
        <w:rPr>
          <w:noProof/>
        </w:rPr>
        <w:t xml:space="preserve"> o </w:t>
      </w:r>
      <w:r w:rsidRPr="001E2023">
        <w:rPr>
          <w:noProof/>
        </w:rPr>
        <w:t>fungovaní Európskej únie,</w:t>
      </w:r>
      <w:r w:rsidR="001E2023">
        <w:rPr>
          <w:noProof/>
        </w:rPr>
        <w:t xml:space="preserve"> a </w:t>
      </w:r>
      <w:r w:rsidRPr="001E2023">
        <w:rPr>
          <w:noProof/>
        </w:rPr>
        <w:t>najmä na jej články 113</w:t>
      </w:r>
      <w:r w:rsidR="001E2023">
        <w:rPr>
          <w:noProof/>
        </w:rPr>
        <w:t xml:space="preserve"> a </w:t>
      </w:r>
      <w:r w:rsidRPr="001E2023">
        <w:rPr>
          <w:noProof/>
        </w:rPr>
        <w:t>115,</w:t>
      </w:r>
    </w:p>
    <w:p w14:paraId="5B46A7B3" w14:textId="77777777" w:rsidR="00EF7953" w:rsidRPr="001E2023" w:rsidRDefault="00EF7953">
      <w:pPr>
        <w:rPr>
          <w:noProof/>
        </w:rPr>
      </w:pPr>
      <w:r w:rsidRPr="001E2023">
        <w:rPr>
          <w:noProof/>
        </w:rPr>
        <w:t>so zreteľom na návrh Európskej komisie,</w:t>
      </w:r>
    </w:p>
    <w:p w14:paraId="409C6B59" w14:textId="77777777" w:rsidR="00EF7953" w:rsidRPr="001E2023" w:rsidRDefault="00EF7953">
      <w:pPr>
        <w:rPr>
          <w:noProof/>
        </w:rPr>
      </w:pPr>
      <w:r w:rsidRPr="001E2023">
        <w:rPr>
          <w:noProof/>
        </w:rPr>
        <w:t>po postúpení návrhu legislatívneho aktu národným parlamentom,</w:t>
      </w:r>
    </w:p>
    <w:p w14:paraId="4BCF0FB2" w14:textId="77777777" w:rsidR="001E2023" w:rsidRPr="001E2023" w:rsidRDefault="00EF7953">
      <w:pPr>
        <w:rPr>
          <w:noProof/>
        </w:rPr>
      </w:pPr>
      <w:r w:rsidRPr="001E2023">
        <w:rPr>
          <w:noProof/>
        </w:rPr>
        <w:t>so zreteľom na stanovisko Európskeho parlamentu</w:t>
      </w:r>
      <w:r w:rsidRPr="001E2023">
        <w:rPr>
          <w:rStyle w:val="Odkaznapoznmkupodiarou"/>
          <w:noProof/>
        </w:rPr>
        <w:footnoteReference w:id="7"/>
      </w:r>
      <w:r w:rsidRPr="001E2023">
        <w:rPr>
          <w:noProof/>
        </w:rPr>
        <w:t>,</w:t>
      </w:r>
    </w:p>
    <w:p w14:paraId="6199FBC0" w14:textId="77777777" w:rsidR="001E2023" w:rsidRPr="001E2023" w:rsidRDefault="00EF7953">
      <w:pPr>
        <w:rPr>
          <w:noProof/>
        </w:rPr>
      </w:pPr>
      <w:r w:rsidRPr="001E2023">
        <w:rPr>
          <w:noProof/>
        </w:rPr>
        <w:t>so zreteľom na stanovisko Európskeho hospodárskeho</w:t>
      </w:r>
      <w:r w:rsidR="001E2023">
        <w:rPr>
          <w:noProof/>
        </w:rPr>
        <w:t xml:space="preserve"> a </w:t>
      </w:r>
      <w:r w:rsidRPr="001E2023">
        <w:rPr>
          <w:noProof/>
        </w:rPr>
        <w:t>sociálneho výboru</w:t>
      </w:r>
      <w:r w:rsidRPr="001E2023">
        <w:rPr>
          <w:rStyle w:val="Odkaznapoznmkupodiarou"/>
          <w:noProof/>
        </w:rPr>
        <w:footnoteReference w:id="8"/>
      </w:r>
      <w:r w:rsidRPr="001E2023">
        <w:rPr>
          <w:noProof/>
        </w:rPr>
        <w:t>,</w:t>
      </w:r>
    </w:p>
    <w:p w14:paraId="6B5BD7A7" w14:textId="77777777" w:rsidR="00EF7953" w:rsidRPr="001E2023" w:rsidRDefault="00EF7953">
      <w:pPr>
        <w:rPr>
          <w:noProof/>
        </w:rPr>
      </w:pPr>
      <w:r w:rsidRPr="001E2023">
        <w:rPr>
          <w:noProof/>
        </w:rPr>
        <w:t>konajúc</w:t>
      </w:r>
      <w:r w:rsidR="001E2023">
        <w:rPr>
          <w:noProof/>
        </w:rPr>
        <w:t xml:space="preserve"> v </w:t>
      </w:r>
      <w:r w:rsidRPr="001E2023">
        <w:rPr>
          <w:noProof/>
        </w:rPr>
        <w:t>súlade</w:t>
      </w:r>
      <w:r w:rsidR="001E2023">
        <w:rPr>
          <w:noProof/>
        </w:rPr>
        <w:t xml:space="preserve"> s </w:t>
      </w:r>
      <w:r w:rsidRPr="001E2023">
        <w:rPr>
          <w:noProof/>
        </w:rPr>
        <w:t>mimoriadnym legislatívnym postupom,</w:t>
      </w:r>
    </w:p>
    <w:p w14:paraId="3D6D18E1" w14:textId="77777777" w:rsidR="00EF7953" w:rsidRPr="001E2023" w:rsidRDefault="00EF7953">
      <w:pPr>
        <w:rPr>
          <w:noProof/>
        </w:rPr>
      </w:pPr>
      <w:r w:rsidRPr="001E2023">
        <w:rPr>
          <w:noProof/>
        </w:rPr>
        <w:t>keďže:</w:t>
      </w:r>
    </w:p>
    <w:p w14:paraId="1D604948" w14:textId="77777777" w:rsidR="00EF7953" w:rsidRPr="001E2023" w:rsidRDefault="00C149E3" w:rsidP="00C149E3">
      <w:pPr>
        <w:pStyle w:val="ManualConsidrant"/>
        <w:rPr>
          <w:noProof/>
        </w:rPr>
      </w:pPr>
      <w:r w:rsidRPr="00C149E3">
        <w:rPr>
          <w:noProof/>
        </w:rPr>
        <w:t>(1)</w:t>
      </w:r>
      <w:r w:rsidRPr="00C149E3">
        <w:rPr>
          <w:noProof/>
        </w:rPr>
        <w:tab/>
      </w:r>
      <w:r w:rsidR="006659A1" w:rsidRPr="001E2023">
        <w:rPr>
          <w:noProof/>
        </w:rPr>
        <w:t>Smernicou Rady (EÚ) 2022/2523</w:t>
      </w:r>
      <w:r w:rsidR="00C43A66" w:rsidRPr="001E2023">
        <w:rPr>
          <w:rStyle w:val="Odkaznapoznmkupodiarou"/>
          <w:noProof/>
        </w:rPr>
        <w:footnoteReference w:id="9"/>
      </w:r>
      <w:r w:rsidR="006659A1" w:rsidRPr="001E2023">
        <w:rPr>
          <w:noProof/>
        </w:rPr>
        <w:t xml:space="preserve"> sa zaviedla dohoda, ktorú 8</w:t>
      </w:r>
      <w:r w:rsidR="001E2023">
        <w:rPr>
          <w:noProof/>
        </w:rPr>
        <w:t>. decembra</w:t>
      </w:r>
      <w:r w:rsidR="006659A1" w:rsidRPr="001E2023">
        <w:rPr>
          <w:noProof/>
        </w:rPr>
        <w:t xml:space="preserve"> 2021 dosiahol inkluzívny rámec OECD/G20 pre boj proti narúšaniu základu dane</w:t>
      </w:r>
      <w:r w:rsidR="001E2023">
        <w:rPr>
          <w:noProof/>
        </w:rPr>
        <w:t xml:space="preserve"> a </w:t>
      </w:r>
      <w:r w:rsidR="006659A1" w:rsidRPr="001E2023">
        <w:rPr>
          <w:noProof/>
        </w:rPr>
        <w:t>presunu ziskov (BEPS),</w:t>
      </w:r>
      <w:r w:rsidR="001E2023">
        <w:rPr>
          <w:noProof/>
        </w:rPr>
        <w:t xml:space="preserve"> a </w:t>
      </w:r>
      <w:r w:rsidR="006659A1" w:rsidRPr="001E2023">
        <w:rPr>
          <w:noProof/>
        </w:rPr>
        <w:t>smernica úzko nadväzuje na modelové pravidlá OECD, na ktorých sa dohodol inkluzívny rámec OECD/G20 14</w:t>
      </w:r>
      <w:r w:rsidR="001E2023">
        <w:rPr>
          <w:noProof/>
        </w:rPr>
        <w:t>. decembra</w:t>
      </w:r>
      <w:r w:rsidR="006659A1" w:rsidRPr="001E2023">
        <w:rPr>
          <w:noProof/>
        </w:rPr>
        <w:t xml:space="preserve"> 2021. Smernicou sa zavádza kvalifikované pravidlo zahrnutia príjmov</w:t>
      </w:r>
      <w:r w:rsidR="001E2023">
        <w:rPr>
          <w:noProof/>
        </w:rPr>
        <w:t xml:space="preserve"> a </w:t>
      </w:r>
      <w:r w:rsidR="006659A1" w:rsidRPr="001E2023">
        <w:rPr>
          <w:noProof/>
        </w:rPr>
        <w:t>kvalifikované pravidlo pre nedostatočne zdanené zisky, pričom sa smernicou zároveň umožňuje členským štátom zaviesť vlastnú kvalifikovanú vnútroštátnu dorovnávaciu daň.</w:t>
      </w:r>
    </w:p>
    <w:p w14:paraId="11E804F5" w14:textId="77777777" w:rsidR="001E2023" w:rsidRPr="001E2023" w:rsidRDefault="00C149E3" w:rsidP="00C149E3">
      <w:pPr>
        <w:pStyle w:val="ManualConsidrant"/>
        <w:rPr>
          <w:noProof/>
        </w:rPr>
      </w:pPr>
      <w:r w:rsidRPr="00C149E3">
        <w:rPr>
          <w:noProof/>
        </w:rPr>
        <w:t>(2)</w:t>
      </w:r>
      <w:r w:rsidRPr="00C149E3">
        <w:rPr>
          <w:noProof/>
        </w:rPr>
        <w:tab/>
      </w:r>
      <w:r w:rsidR="0044311D" w:rsidRPr="001E2023">
        <w:rPr>
          <w:noProof/>
        </w:rPr>
        <w:t>V článku 44 smernice Rady (EÚ) 2022/2523 sa už stanovujú pravidlá podávania oznámení</w:t>
      </w:r>
      <w:r w:rsidR="001E2023">
        <w:rPr>
          <w:noProof/>
        </w:rPr>
        <w:t xml:space="preserve"> s </w:t>
      </w:r>
      <w:r w:rsidR="0044311D" w:rsidRPr="001E2023">
        <w:rPr>
          <w:noProof/>
        </w:rPr>
        <w:t>informáciami na určenie dorovnávacej dane</w:t>
      </w:r>
      <w:r w:rsidR="001E2023">
        <w:rPr>
          <w:noProof/>
        </w:rPr>
        <w:t xml:space="preserve"> a </w:t>
      </w:r>
      <w:r w:rsidR="0044311D" w:rsidRPr="001E2023">
        <w:rPr>
          <w:noProof/>
        </w:rPr>
        <w:t>všeobecne sa uvádzajú kategórie informácií, ktoré majú nadnárodné podniky</w:t>
      </w:r>
      <w:r w:rsidR="001E2023">
        <w:rPr>
          <w:noProof/>
        </w:rPr>
        <w:t xml:space="preserve"> a </w:t>
      </w:r>
      <w:r w:rsidR="0044311D" w:rsidRPr="001E2023">
        <w:rPr>
          <w:noProof/>
        </w:rPr>
        <w:t>veľké vnútroštátne skupiny, na ktoré sa vzťahuje uvedená smernica, oznamovať, keďže daňové správy potrebujú tieto oznámenia</w:t>
      </w:r>
      <w:r w:rsidR="001E2023">
        <w:rPr>
          <w:noProof/>
        </w:rPr>
        <w:t xml:space="preserve"> s </w:t>
      </w:r>
      <w:r w:rsidR="0044311D" w:rsidRPr="001E2023">
        <w:rPr>
          <w:noProof/>
        </w:rPr>
        <w:t>informáciami na určenie dorovnávacej dane na vykonanie primeraného posúdenia rizika, na zhodnotenie správnosti daňovej povinnosti</w:t>
      </w:r>
      <w:r w:rsidR="001E2023">
        <w:rPr>
          <w:noProof/>
        </w:rPr>
        <w:t xml:space="preserve"> a </w:t>
      </w:r>
      <w:r w:rsidR="0044311D" w:rsidRPr="001E2023">
        <w:rPr>
          <w:noProof/>
        </w:rPr>
        <w:t>na monitorovanie toho, či nadnárodné podniky</w:t>
      </w:r>
      <w:r w:rsidR="001E2023">
        <w:rPr>
          <w:noProof/>
        </w:rPr>
        <w:t xml:space="preserve"> a </w:t>
      </w:r>
      <w:r w:rsidR="0044311D" w:rsidRPr="001E2023">
        <w:rPr>
          <w:noProof/>
        </w:rPr>
        <w:t>veľké vnútroštátne skupiny správne uplatňujú pravidlá stanovené</w:t>
      </w:r>
      <w:r w:rsidR="001E2023">
        <w:rPr>
          <w:noProof/>
        </w:rPr>
        <w:t xml:space="preserve"> v </w:t>
      </w:r>
      <w:r w:rsidR="0044311D" w:rsidRPr="001E2023">
        <w:rPr>
          <w:noProof/>
        </w:rPr>
        <w:t>smernici Rady (EÚ) 2022/2523</w:t>
      </w:r>
      <w:r w:rsidR="001E2023" w:rsidRPr="001E2023">
        <w:rPr>
          <w:noProof/>
        </w:rPr>
        <w:t>.</w:t>
      </w:r>
    </w:p>
    <w:p w14:paraId="0D12EE85" w14:textId="77777777" w:rsidR="001E2023" w:rsidRPr="001E2023" w:rsidRDefault="00C149E3" w:rsidP="00C149E3">
      <w:pPr>
        <w:pStyle w:val="ManualConsidrant"/>
        <w:rPr>
          <w:noProof/>
        </w:rPr>
      </w:pPr>
      <w:r w:rsidRPr="00C149E3">
        <w:rPr>
          <w:noProof/>
        </w:rPr>
        <w:t>(3)</w:t>
      </w:r>
      <w:r w:rsidRPr="00C149E3">
        <w:rPr>
          <w:noProof/>
        </w:rPr>
        <w:tab/>
      </w:r>
      <w:r w:rsidR="00236628" w:rsidRPr="001E2023">
        <w:rPr>
          <w:noProof/>
        </w:rPr>
        <w:t>Je preto vhodné zmeniť smernicu Rady 2011/16/EÚ</w:t>
      </w:r>
      <w:r w:rsidR="00236628" w:rsidRPr="001E2023">
        <w:rPr>
          <w:rStyle w:val="Odkaznapoznmkupodiarou"/>
          <w:noProof/>
        </w:rPr>
        <w:footnoteReference w:id="10"/>
      </w:r>
      <w:r w:rsidR="001E2023">
        <w:rPr>
          <w:noProof/>
        </w:rPr>
        <w:t xml:space="preserve"> a </w:t>
      </w:r>
      <w:r w:rsidR="00236628" w:rsidRPr="001E2023">
        <w:rPr>
          <w:noProof/>
        </w:rPr>
        <w:t>stanoviť nové pravidlá automatickej výmeny informácií na uľahčenie výmeny informácií, pokiaľ ide</w:t>
      </w:r>
      <w:r w:rsidR="001E2023">
        <w:rPr>
          <w:noProof/>
        </w:rPr>
        <w:t xml:space="preserve"> o </w:t>
      </w:r>
      <w:r w:rsidR="00236628" w:rsidRPr="001E2023">
        <w:rPr>
          <w:noProof/>
        </w:rPr>
        <w:t>oznámenia</w:t>
      </w:r>
      <w:r w:rsidR="001E2023">
        <w:rPr>
          <w:noProof/>
        </w:rPr>
        <w:t xml:space="preserve"> s </w:t>
      </w:r>
      <w:r w:rsidR="00236628" w:rsidRPr="001E2023">
        <w:rPr>
          <w:noProof/>
        </w:rPr>
        <w:t>informáciami na určenie dorovnávacej dane,</w:t>
      </w:r>
      <w:r w:rsidR="001E2023">
        <w:rPr>
          <w:noProof/>
        </w:rPr>
        <w:t xml:space="preserve"> a </w:t>
      </w:r>
      <w:r w:rsidR="00236628" w:rsidRPr="001E2023">
        <w:rPr>
          <w:noProof/>
        </w:rPr>
        <w:t xml:space="preserve">tým poskytnúť rámec pre operatívne vykonávanie článku 44 smernice Rady (EÚ) 2022/2523. Tieto pravidlá by </w:t>
      </w:r>
      <w:r w:rsidR="00236628" w:rsidRPr="001E2023">
        <w:rPr>
          <w:noProof/>
        </w:rPr>
        <w:lastRenderedPageBreak/>
        <w:t>mali byť</w:t>
      </w:r>
      <w:r w:rsidR="001E2023">
        <w:rPr>
          <w:noProof/>
        </w:rPr>
        <w:t xml:space="preserve"> v </w:t>
      </w:r>
      <w:r w:rsidR="00236628" w:rsidRPr="001E2023">
        <w:rPr>
          <w:noProof/>
        </w:rPr>
        <w:t>súlade</w:t>
      </w:r>
      <w:r w:rsidR="001E2023">
        <w:rPr>
          <w:noProof/>
        </w:rPr>
        <w:t xml:space="preserve"> s </w:t>
      </w:r>
      <w:r w:rsidR="00236628" w:rsidRPr="001E2023">
        <w:rPr>
          <w:noProof/>
        </w:rPr>
        <w:t>dohodou inkluzívneho rámca OECD/G20</w:t>
      </w:r>
      <w:r w:rsidR="001E2023">
        <w:rPr>
          <w:noProof/>
        </w:rPr>
        <w:t xml:space="preserve"> a s </w:t>
      </w:r>
      <w:r w:rsidR="00236628" w:rsidRPr="001E2023">
        <w:rPr>
          <w:noProof/>
        </w:rPr>
        <w:t>modelovými pravidlami</w:t>
      </w:r>
      <w:r w:rsidR="001E2023" w:rsidRPr="001E2023">
        <w:rPr>
          <w:noProof/>
        </w:rPr>
        <w:t>.</w:t>
      </w:r>
    </w:p>
    <w:p w14:paraId="2A550AAE" w14:textId="77777777" w:rsidR="002F6876" w:rsidRPr="001E2023" w:rsidRDefault="00C149E3" w:rsidP="00C149E3">
      <w:pPr>
        <w:pStyle w:val="ManualConsidrant"/>
        <w:rPr>
          <w:noProof/>
        </w:rPr>
      </w:pPr>
      <w:r w:rsidRPr="00C149E3">
        <w:rPr>
          <w:noProof/>
        </w:rPr>
        <w:t>(4)</w:t>
      </w:r>
      <w:r w:rsidRPr="00C149E3">
        <w:rPr>
          <w:noProof/>
        </w:rPr>
        <w:tab/>
      </w:r>
      <w:r w:rsidR="00EB647D" w:rsidRPr="001E2023">
        <w:rPr>
          <w:noProof/>
        </w:rPr>
        <w:t>Tieto pravidlá by mali umožniť centrálne podávanie oznámenia</w:t>
      </w:r>
      <w:r w:rsidR="001E2023">
        <w:rPr>
          <w:noProof/>
        </w:rPr>
        <w:t xml:space="preserve"> s </w:t>
      </w:r>
      <w:r w:rsidR="00EB647D" w:rsidRPr="001E2023">
        <w:rPr>
          <w:noProof/>
        </w:rPr>
        <w:t>informáciami na určenie dorovnávacej dane na rozdiel od miestneho podávania tohto oznámenia</w:t>
      </w:r>
      <w:r w:rsidR="001E2023">
        <w:rPr>
          <w:noProof/>
        </w:rPr>
        <w:t xml:space="preserve"> v </w:t>
      </w:r>
      <w:r w:rsidR="00EB647D" w:rsidRPr="001E2023">
        <w:rPr>
          <w:noProof/>
        </w:rPr>
        <w:t>každej jurisdikcii, ktorá vykonáva dohodu inkluzívneho rámca OECD/G20</w:t>
      </w:r>
      <w:r w:rsidR="001E2023">
        <w:rPr>
          <w:noProof/>
        </w:rPr>
        <w:t xml:space="preserve"> o </w:t>
      </w:r>
      <w:r w:rsidR="00EB647D" w:rsidRPr="001E2023">
        <w:rPr>
          <w:noProof/>
        </w:rPr>
        <w:t>minimálnom zdanení nadnárodných podnikov (vykonávajúce jurisdikcie)</w:t>
      </w:r>
      <w:r w:rsidR="00894509" w:rsidRPr="001E2023">
        <w:rPr>
          <w:rStyle w:val="Odkaznapoznmkupodiarou"/>
          <w:noProof/>
        </w:rPr>
        <w:footnoteReference w:id="11"/>
      </w:r>
      <w:r w:rsidR="00EB647D" w:rsidRPr="001E2023">
        <w:rPr>
          <w:noProof/>
        </w:rPr>
        <w:t>. Daňové správy každej príslušnej vykonávajúcej jurisdikcie by mali dostať potrebné informácie</w:t>
      </w:r>
      <w:r w:rsidR="001E2023">
        <w:rPr>
          <w:noProof/>
        </w:rPr>
        <w:t xml:space="preserve"> v </w:t>
      </w:r>
      <w:r w:rsidR="00EB647D" w:rsidRPr="001E2023">
        <w:rPr>
          <w:noProof/>
        </w:rPr>
        <w:t>rámci štandardného oznámenia</w:t>
      </w:r>
      <w:r w:rsidR="001E2023">
        <w:rPr>
          <w:noProof/>
        </w:rPr>
        <w:t xml:space="preserve"> s </w:t>
      </w:r>
      <w:r w:rsidR="00EB647D" w:rsidRPr="001E2023">
        <w:rPr>
          <w:noProof/>
        </w:rPr>
        <w:t>informáciami.</w:t>
      </w:r>
    </w:p>
    <w:p w14:paraId="1B878F0D" w14:textId="77777777" w:rsidR="00790519" w:rsidRPr="001E2023" w:rsidRDefault="00C149E3" w:rsidP="00C149E3">
      <w:pPr>
        <w:pStyle w:val="ManualConsidrant"/>
        <w:rPr>
          <w:noProof/>
        </w:rPr>
      </w:pPr>
      <w:r w:rsidRPr="00C149E3">
        <w:rPr>
          <w:noProof/>
        </w:rPr>
        <w:t>(5)</w:t>
      </w:r>
      <w:r w:rsidRPr="00C149E3">
        <w:rPr>
          <w:noProof/>
        </w:rPr>
        <w:tab/>
      </w:r>
      <w:r w:rsidR="009B356E" w:rsidRPr="001E2023">
        <w:rPr>
          <w:noProof/>
        </w:rPr>
        <w:t>Členské štáty by mali prijať potrebné opatrenia, ktoré by im umožnili požadovať od oznamujúcich subjektov nadnárodného podniku, ktorý sa nachádza</w:t>
      </w:r>
      <w:r w:rsidR="001E2023">
        <w:rPr>
          <w:noProof/>
        </w:rPr>
        <w:t xml:space="preserve"> v </w:t>
      </w:r>
      <w:r w:rsidR="009B356E" w:rsidRPr="001E2023">
        <w:rPr>
          <w:noProof/>
        </w:rPr>
        <w:t>EÚ, aby podávali oznámenie</w:t>
      </w:r>
      <w:r w:rsidR="001E2023">
        <w:rPr>
          <w:noProof/>
        </w:rPr>
        <w:t xml:space="preserve"> s </w:t>
      </w:r>
      <w:r w:rsidR="009B356E" w:rsidRPr="001E2023">
        <w:rPr>
          <w:noProof/>
        </w:rPr>
        <w:t>informáciami na určenie dorovnávacej dane</w:t>
      </w:r>
      <w:r w:rsidR="001E2023">
        <w:rPr>
          <w:noProof/>
        </w:rPr>
        <w:t xml:space="preserve"> v </w:t>
      </w:r>
      <w:r w:rsidR="009B356E" w:rsidRPr="001E2023">
        <w:rPr>
          <w:noProof/>
        </w:rPr>
        <w:t>lehotách stanovených</w:t>
      </w:r>
      <w:r w:rsidR="001E2023">
        <w:rPr>
          <w:noProof/>
        </w:rPr>
        <w:t xml:space="preserve"> v </w:t>
      </w:r>
      <w:r w:rsidR="009B356E" w:rsidRPr="001E2023">
        <w:rPr>
          <w:noProof/>
        </w:rPr>
        <w:t>článku 44 ods. 7</w:t>
      </w:r>
      <w:r w:rsidR="001E2023">
        <w:rPr>
          <w:noProof/>
        </w:rPr>
        <w:t xml:space="preserve"> a </w:t>
      </w:r>
      <w:r w:rsidR="009B356E" w:rsidRPr="001E2023">
        <w:rPr>
          <w:noProof/>
        </w:rPr>
        <w:t>článku 51 smernice Rady (EÚ) 2022/2523.</w:t>
      </w:r>
    </w:p>
    <w:p w14:paraId="3A87B765" w14:textId="77777777" w:rsidR="00455E4A" w:rsidRPr="001E2023" w:rsidRDefault="00C149E3" w:rsidP="00C149E3">
      <w:pPr>
        <w:pStyle w:val="ManualConsidrant"/>
        <w:rPr>
          <w:noProof/>
        </w:rPr>
      </w:pPr>
      <w:r w:rsidRPr="00C149E3">
        <w:rPr>
          <w:noProof/>
        </w:rPr>
        <w:t>(6)</w:t>
      </w:r>
      <w:r w:rsidRPr="00C149E3">
        <w:rPr>
          <w:noProof/>
        </w:rPr>
        <w:tab/>
      </w:r>
      <w:r w:rsidR="00567E7F" w:rsidRPr="001E2023">
        <w:rPr>
          <w:noProof/>
        </w:rPr>
        <w:t>Keď členský štát dostane od oznamujúcich subjektov oznámenie</w:t>
      </w:r>
      <w:r w:rsidR="001E2023" w:rsidRPr="001E2023">
        <w:rPr>
          <w:noProof/>
        </w:rPr>
        <w:t xml:space="preserve"> s </w:t>
      </w:r>
      <w:r w:rsidR="00567E7F" w:rsidRPr="001E2023">
        <w:rPr>
          <w:noProof/>
        </w:rPr>
        <w:t>informáciami na určenie dorovnávacej dane, mal by</w:t>
      </w:r>
      <w:r w:rsidR="001E2023" w:rsidRPr="001E2023">
        <w:rPr>
          <w:noProof/>
        </w:rPr>
        <w:t xml:space="preserve"> v </w:t>
      </w:r>
      <w:r w:rsidR="00567E7F" w:rsidRPr="001E2023">
        <w:rPr>
          <w:noProof/>
        </w:rPr>
        <w:t>súlade</w:t>
      </w:r>
      <w:r w:rsidR="001E2023" w:rsidRPr="001E2023">
        <w:rPr>
          <w:noProof/>
        </w:rPr>
        <w:t xml:space="preserve"> s </w:t>
      </w:r>
      <w:r w:rsidR="00567E7F" w:rsidRPr="001E2023">
        <w:rPr>
          <w:noProof/>
        </w:rPr>
        <w:t>prístupom šírenia schváleným inkluzívnym rámcom OECD/G20 najneskôr do troch mesiacov od ich prijatia informovať členské štáty</w:t>
      </w:r>
      <w:r w:rsidR="001E2023" w:rsidRPr="001E2023">
        <w:rPr>
          <w:noProof/>
        </w:rPr>
        <w:t xml:space="preserve"> a </w:t>
      </w:r>
      <w:r w:rsidR="00567E7F" w:rsidRPr="001E2023">
        <w:rPr>
          <w:noProof/>
        </w:rPr>
        <w:t>prijímajúce jurisdikcie</w:t>
      </w:r>
      <w:r w:rsidR="001E2023" w:rsidRPr="001E2023">
        <w:rPr>
          <w:noProof/>
        </w:rPr>
        <w:t xml:space="preserve"> o </w:t>
      </w:r>
      <w:r w:rsidR="00567E7F" w:rsidRPr="001E2023">
        <w:rPr>
          <w:noProof/>
        </w:rPr>
        <w:t>príslušných špecifických častiach týchto oznámení</w:t>
      </w:r>
      <w:r w:rsidR="001E2023" w:rsidRPr="001E2023">
        <w:rPr>
          <w:noProof/>
        </w:rPr>
        <w:t xml:space="preserve"> s </w:t>
      </w:r>
      <w:r w:rsidR="00567E7F" w:rsidRPr="001E2023">
        <w:rPr>
          <w:noProof/>
        </w:rPr>
        <w:t>informáciami na určenie dorovnávacej dane.</w:t>
      </w:r>
      <w:r w:rsidR="001E2023" w:rsidRPr="001E2023">
        <w:rPr>
          <w:noProof/>
        </w:rPr>
        <w:t xml:space="preserve"> V </w:t>
      </w:r>
      <w:r w:rsidR="00567E7F" w:rsidRPr="001E2023">
        <w:rPr>
          <w:noProof/>
        </w:rPr>
        <w:t>prvom roku fungovania by sa lehota na informovanie</w:t>
      </w:r>
      <w:r w:rsidR="001E2023" w:rsidRPr="001E2023">
        <w:rPr>
          <w:noProof/>
        </w:rPr>
        <w:t xml:space="preserve"> o </w:t>
      </w:r>
      <w:r w:rsidR="00567E7F" w:rsidRPr="001E2023">
        <w:rPr>
          <w:noProof/>
        </w:rPr>
        <w:t>oznámeniach mala predĺžiť na šesť mesiacov po ich prijatí, aby sa zohľadnili prípadné oneskorenia</w:t>
      </w:r>
      <w:r w:rsidR="001E2023" w:rsidRPr="001E2023">
        <w:rPr>
          <w:noProof/>
        </w:rPr>
        <w:t xml:space="preserve"> v </w:t>
      </w:r>
      <w:r w:rsidR="00567E7F" w:rsidRPr="001E2023">
        <w:rPr>
          <w:noProof/>
        </w:rPr>
        <w:t>novom systéme výmeny.</w:t>
      </w:r>
    </w:p>
    <w:p w14:paraId="03937716" w14:textId="77777777" w:rsidR="00BE3F8F" w:rsidRPr="001E2023" w:rsidRDefault="00C149E3" w:rsidP="00C149E3">
      <w:pPr>
        <w:pStyle w:val="ManualConsidrant"/>
        <w:rPr>
          <w:noProof/>
        </w:rPr>
      </w:pPr>
      <w:r w:rsidRPr="00C149E3">
        <w:rPr>
          <w:noProof/>
        </w:rPr>
        <w:t>(7)</w:t>
      </w:r>
      <w:r w:rsidRPr="00C149E3">
        <w:rPr>
          <w:noProof/>
        </w:rPr>
        <w:tab/>
      </w:r>
      <w:r w:rsidR="00111503" w:rsidRPr="001E2023">
        <w:rPr>
          <w:noProof/>
        </w:rPr>
        <w:t>Členský štát hlavného materského subjektu nadnárodného podniku by mal dostať úplné oznámenie</w:t>
      </w:r>
      <w:r w:rsidR="001E2023" w:rsidRPr="001E2023">
        <w:rPr>
          <w:noProof/>
        </w:rPr>
        <w:t xml:space="preserve"> s </w:t>
      </w:r>
      <w:r w:rsidR="00111503" w:rsidRPr="001E2023">
        <w:rPr>
          <w:noProof/>
        </w:rPr>
        <w:t>informáciami na určenie dorovnávacej dane. Všetkým členským štátom, ktoré uplatňujú kvalifikované pravidlo zahrnutia príjmov alebo kvalifikované pravidlo pre nedostatočne zdanené zisky alebo obidve pravidlá (vykonávajúce členské štáty), by sa mal poskytnúť úplný všeobecný oddiel oznámenia</w:t>
      </w:r>
      <w:r w:rsidR="001E2023" w:rsidRPr="001E2023">
        <w:rPr>
          <w:noProof/>
        </w:rPr>
        <w:t xml:space="preserve"> s </w:t>
      </w:r>
      <w:r w:rsidR="00111503" w:rsidRPr="001E2023">
        <w:rPr>
          <w:noProof/>
        </w:rPr>
        <w:t>informáciami na určenie dorovnávacej dane</w:t>
      </w:r>
      <w:r w:rsidR="001E2023" w:rsidRPr="001E2023">
        <w:rPr>
          <w:noProof/>
        </w:rPr>
        <w:t xml:space="preserve"> a </w:t>
      </w:r>
      <w:r w:rsidR="00111503" w:rsidRPr="001E2023">
        <w:rPr>
          <w:noProof/>
        </w:rPr>
        <w:t>členským štátom, ktoré uplatňujú len kvalifikovanú vnútroštátnu dorovnávaciu daň</w:t>
      </w:r>
      <w:r w:rsidR="001E2023" w:rsidRPr="001E2023">
        <w:rPr>
          <w:noProof/>
        </w:rPr>
        <w:t xml:space="preserve"> a v </w:t>
      </w:r>
      <w:r w:rsidR="00111503" w:rsidRPr="001E2023">
        <w:rPr>
          <w:noProof/>
        </w:rPr>
        <w:t>ktorých sa nachádzajú základné subjekty nadnárodného podniku, by sa mali poskytnúť príslušné časti všeobecného oddielu oznámenia</w:t>
      </w:r>
      <w:r w:rsidR="001E2023" w:rsidRPr="001E2023">
        <w:rPr>
          <w:noProof/>
        </w:rPr>
        <w:t xml:space="preserve"> s </w:t>
      </w:r>
      <w:r w:rsidR="00111503" w:rsidRPr="001E2023">
        <w:rPr>
          <w:noProof/>
        </w:rPr>
        <w:t>informáciami na určenie dorovnávacej dane. Členským štátom, ktoré disponujú právami zdaňovať podľa smernice Rady (EÚ) 2022/2523, by sa mali poskytnúť jurisdikčné oddiely.</w:t>
      </w:r>
    </w:p>
    <w:p w14:paraId="4B4C2EDB" w14:textId="77777777" w:rsidR="00111503" w:rsidRPr="001E2023" w:rsidRDefault="00C149E3" w:rsidP="00C149E3">
      <w:pPr>
        <w:pStyle w:val="ManualConsidrant"/>
        <w:rPr>
          <w:noProof/>
        </w:rPr>
      </w:pPr>
      <w:r w:rsidRPr="00C149E3">
        <w:rPr>
          <w:noProof/>
        </w:rPr>
        <w:t>(8)</w:t>
      </w:r>
      <w:r w:rsidRPr="00C149E3">
        <w:rPr>
          <w:noProof/>
        </w:rPr>
        <w:tab/>
      </w:r>
      <w:r w:rsidR="00A75740" w:rsidRPr="001E2023">
        <w:rPr>
          <w:noProof/>
        </w:rPr>
        <w:t>Poskytovanie informácií príslušným orgánom iných členských štátov by sa malo uskutočňovať prostredníctvom štandardného elektronického formulára, ktorý Komisia vypracuje prostredníctvom vykonávacích aktov.</w:t>
      </w:r>
    </w:p>
    <w:p w14:paraId="44AE5350" w14:textId="77777777" w:rsidR="00A75740" w:rsidRPr="001E2023" w:rsidRDefault="00C149E3" w:rsidP="00C149E3">
      <w:pPr>
        <w:pStyle w:val="ManualConsidrant"/>
        <w:rPr>
          <w:noProof/>
        </w:rPr>
      </w:pPr>
      <w:r w:rsidRPr="00C149E3">
        <w:rPr>
          <w:noProof/>
        </w:rPr>
        <w:t>(9)</w:t>
      </w:r>
      <w:r w:rsidRPr="00C149E3">
        <w:rPr>
          <w:noProof/>
        </w:rPr>
        <w:tab/>
      </w:r>
      <w:r w:rsidR="00B03123" w:rsidRPr="001E2023">
        <w:rPr>
          <w:noProof/>
        </w:rPr>
        <w:t>Príslušné orgány by sa mali navzájom informovať, ak existuje dôvod domnievať sa, že informácie uvedené</w:t>
      </w:r>
      <w:r w:rsidR="001E2023">
        <w:rPr>
          <w:noProof/>
        </w:rPr>
        <w:t xml:space="preserve"> v </w:t>
      </w:r>
      <w:r w:rsidR="00B03123" w:rsidRPr="001E2023">
        <w:rPr>
          <w:noProof/>
        </w:rPr>
        <w:t>oznámení</w:t>
      </w:r>
      <w:r w:rsidR="001E2023">
        <w:rPr>
          <w:noProof/>
        </w:rPr>
        <w:t xml:space="preserve"> s </w:t>
      </w:r>
      <w:r w:rsidR="00B03123" w:rsidRPr="001E2023">
        <w:rPr>
          <w:noProof/>
        </w:rPr>
        <w:t>informáciami na určenie dorovnávacej dane si vyžadujú opravu. Takéto opravy by sa mali bez zbytočného odkladu vymeniť so všetkými príslušnými orgánmi, medzi ktorými sa takéto informácie majú vymieňať.</w:t>
      </w:r>
    </w:p>
    <w:p w14:paraId="6EBEF00A" w14:textId="77777777" w:rsidR="001E2023" w:rsidRPr="001E2023" w:rsidRDefault="00C149E3" w:rsidP="00C149E3">
      <w:pPr>
        <w:pStyle w:val="ManualConsidrant"/>
        <w:rPr>
          <w:noProof/>
        </w:rPr>
      </w:pPr>
      <w:r w:rsidRPr="00C149E3">
        <w:rPr>
          <w:noProof/>
        </w:rPr>
        <w:t>(10)</w:t>
      </w:r>
      <w:r w:rsidRPr="00C149E3">
        <w:rPr>
          <w:noProof/>
        </w:rPr>
        <w:tab/>
      </w:r>
      <w:r w:rsidR="001C7685" w:rsidRPr="001E2023">
        <w:rPr>
          <w:noProof/>
        </w:rPr>
        <w:t>Ak sa výmena informácií, ktorá sa očakávala na základe informovania od nadnárodného podniku, smerom</w:t>
      </w:r>
      <w:r w:rsidR="001E2023" w:rsidRPr="001E2023">
        <w:rPr>
          <w:noProof/>
        </w:rPr>
        <w:t xml:space="preserve"> k </w:t>
      </w:r>
      <w:r w:rsidR="001C7685" w:rsidRPr="001E2023">
        <w:rPr>
          <w:noProof/>
        </w:rPr>
        <w:t>príslušnému orgánu neuskutoční, mal by</w:t>
      </w:r>
      <w:r w:rsidR="001E2023" w:rsidRPr="001E2023">
        <w:rPr>
          <w:noProof/>
        </w:rPr>
        <w:t xml:space="preserve"> o </w:t>
      </w:r>
      <w:r w:rsidR="001C7685" w:rsidRPr="001E2023">
        <w:rPr>
          <w:noProof/>
        </w:rPr>
        <w:t xml:space="preserve">tejto chýbajúcej výmene informácií informovať ten príslušný orgán, ktorý mal informácie </w:t>
      </w:r>
      <w:r w:rsidR="001C7685" w:rsidRPr="001E2023">
        <w:rPr>
          <w:noProof/>
        </w:rPr>
        <w:lastRenderedPageBreak/>
        <w:t>zaslať. Príslušný orgán, ktorý mal informácie zaslať, by mal bezodkladne určiť dôvod neuskutočnenia výmeny príslušných informácií</w:t>
      </w:r>
      <w:r w:rsidR="001E2023" w:rsidRPr="001E2023">
        <w:rPr>
          <w:noProof/>
        </w:rPr>
        <w:t xml:space="preserve"> a </w:t>
      </w:r>
      <w:r w:rsidR="001C7685" w:rsidRPr="001E2023">
        <w:rPr>
          <w:noProof/>
        </w:rPr>
        <w:t>mal by</w:t>
      </w:r>
      <w:r w:rsidR="001E2023" w:rsidRPr="001E2023">
        <w:rPr>
          <w:noProof/>
        </w:rPr>
        <w:t xml:space="preserve"> o </w:t>
      </w:r>
      <w:r w:rsidR="001C7685" w:rsidRPr="001E2023">
        <w:rPr>
          <w:noProof/>
        </w:rPr>
        <w:t>tom do jedného mesiaca informovať príslušný orgán, ktorý oznámil chýbajúcu výmenu, ako aj</w:t>
      </w:r>
      <w:r w:rsidR="001E2023" w:rsidRPr="001E2023">
        <w:rPr>
          <w:noProof/>
        </w:rPr>
        <w:t xml:space="preserve"> o </w:t>
      </w:r>
      <w:r w:rsidR="001C7685" w:rsidRPr="001E2023">
        <w:rPr>
          <w:noProof/>
        </w:rPr>
        <w:t>očakávanom novom dátume výmeny. Ak sa informácie nedoručia do nového dátumu výmeny, malo by sa to považovať za neuskutočnené centrálne podanie</w:t>
      </w:r>
      <w:r w:rsidR="001E2023" w:rsidRPr="001E2023">
        <w:rPr>
          <w:noProof/>
        </w:rPr>
        <w:t xml:space="preserve"> a </w:t>
      </w:r>
      <w:r w:rsidR="001C7685" w:rsidRPr="001E2023">
        <w:rPr>
          <w:noProof/>
        </w:rPr>
        <w:t>príslušný orgán, ktorý oznámil chýbajúcu výmenu, by mal požiadať základný subjekt nadnárodného podniku, aby podal oznámenie</w:t>
      </w:r>
      <w:r w:rsidR="001E2023" w:rsidRPr="001E2023">
        <w:rPr>
          <w:noProof/>
        </w:rPr>
        <w:t xml:space="preserve"> s </w:t>
      </w:r>
      <w:r w:rsidR="001C7685" w:rsidRPr="001E2023">
        <w:rPr>
          <w:noProof/>
        </w:rPr>
        <w:t>informáciami na určenie dorovnávacej dane na miestnej úrovni</w:t>
      </w:r>
      <w:r w:rsidR="001E2023" w:rsidRPr="001E2023">
        <w:rPr>
          <w:noProof/>
        </w:rPr>
        <w:t>.</w:t>
      </w:r>
    </w:p>
    <w:p w14:paraId="2E0B9084" w14:textId="77777777" w:rsidR="001E2023" w:rsidRPr="001E2023" w:rsidRDefault="00C149E3" w:rsidP="00C149E3">
      <w:pPr>
        <w:pStyle w:val="ManualConsidrant"/>
        <w:rPr>
          <w:noProof/>
        </w:rPr>
      </w:pPr>
      <w:r w:rsidRPr="00C149E3">
        <w:rPr>
          <w:noProof/>
        </w:rPr>
        <w:t>(11)</w:t>
      </w:r>
      <w:r w:rsidRPr="00C149E3">
        <w:rPr>
          <w:noProof/>
        </w:rPr>
        <w:tab/>
      </w:r>
      <w:r w:rsidR="00291C89" w:rsidRPr="001E2023">
        <w:rPr>
          <w:noProof/>
        </w:rPr>
        <w:t>Článok 50 smernice Rady (EÚ) 2022/2523 umožňuje členským štátom,</w:t>
      </w:r>
      <w:r w:rsidR="001E2023">
        <w:rPr>
          <w:noProof/>
        </w:rPr>
        <w:t xml:space="preserve"> v </w:t>
      </w:r>
      <w:r w:rsidR="00291C89" w:rsidRPr="001E2023">
        <w:rPr>
          <w:noProof/>
        </w:rPr>
        <w:t>ktorých má sídlo len veľmi málo skupín, rozhodnúť, že na obmedzené obdobie nebudú uplatňovať pravidlo zahrnutia príjmov ani pravidlo pre nedostatočne zdanené zisky. Tieto členské štáty by podľa článku 50 smernice Rady (EÚ) 2022/2523 mali začať uplatňovať pravidlá výmeny oznámení</w:t>
      </w:r>
      <w:r w:rsidR="001E2023">
        <w:rPr>
          <w:noProof/>
        </w:rPr>
        <w:t xml:space="preserve"> s </w:t>
      </w:r>
      <w:r w:rsidR="00291C89" w:rsidRPr="001E2023">
        <w:rPr>
          <w:noProof/>
        </w:rPr>
        <w:t>informáciami na určenie dorovnávacej dane až po skončení obdobia uplatňovania tohto rozhodnutia</w:t>
      </w:r>
      <w:r w:rsidR="001E2023" w:rsidRPr="001E2023">
        <w:rPr>
          <w:noProof/>
        </w:rPr>
        <w:t>.</w:t>
      </w:r>
    </w:p>
    <w:p w14:paraId="0CB3EC8D" w14:textId="77777777" w:rsidR="001E2023" w:rsidRPr="001E2023" w:rsidRDefault="00C149E3" w:rsidP="00C149E3">
      <w:pPr>
        <w:pStyle w:val="ManualConsidrant"/>
        <w:rPr>
          <w:noProof/>
        </w:rPr>
      </w:pPr>
      <w:r w:rsidRPr="00C149E3">
        <w:rPr>
          <w:noProof/>
        </w:rPr>
        <w:t>(12)</w:t>
      </w:r>
      <w:r w:rsidRPr="00C149E3">
        <w:rPr>
          <w:noProof/>
        </w:rPr>
        <w:tab/>
      </w:r>
      <w:r w:rsidR="003A0C1A" w:rsidRPr="001E2023">
        <w:rPr>
          <w:noProof/>
        </w:rPr>
        <w:t>Smernica Rady 2011/16/EÚ</w:t>
      </w:r>
      <w:r w:rsidR="001E2023">
        <w:rPr>
          <w:noProof/>
        </w:rPr>
        <w:t xml:space="preserve"> a </w:t>
      </w:r>
      <w:r w:rsidR="003A0C1A" w:rsidRPr="001E2023">
        <w:rPr>
          <w:noProof/>
        </w:rPr>
        <w:t>príloha VII</w:t>
      </w:r>
      <w:r w:rsidR="001E2023">
        <w:rPr>
          <w:noProof/>
        </w:rPr>
        <w:t xml:space="preserve"> k </w:t>
      </w:r>
      <w:r w:rsidR="003A0C1A" w:rsidRPr="001E2023">
        <w:rPr>
          <w:noProof/>
        </w:rPr>
        <w:t>nej, zmenené touto smernicou, by sa mali vykladať spolu so smernicou Rady (EÚ) 2022/2523. Pojmy uvedené</w:t>
      </w:r>
      <w:r w:rsidR="001E2023">
        <w:rPr>
          <w:noProof/>
        </w:rPr>
        <w:t xml:space="preserve"> v </w:t>
      </w:r>
      <w:r w:rsidR="003A0C1A" w:rsidRPr="001E2023">
        <w:rPr>
          <w:noProof/>
        </w:rPr>
        <w:t>smernici Rady 2011/16/EÚ, ktoré sa nachádzajú aj</w:t>
      </w:r>
      <w:r w:rsidR="001E2023">
        <w:rPr>
          <w:noProof/>
        </w:rPr>
        <w:t xml:space="preserve"> v </w:t>
      </w:r>
      <w:r w:rsidR="003A0C1A" w:rsidRPr="001E2023">
        <w:rPr>
          <w:noProof/>
        </w:rPr>
        <w:t>smernici Rady (EÚ) 2022/2523, by mali mať rovnaký význam ako pojmy</w:t>
      </w:r>
      <w:r w:rsidR="001E2023">
        <w:rPr>
          <w:noProof/>
        </w:rPr>
        <w:t xml:space="preserve"> v </w:t>
      </w:r>
      <w:r w:rsidR="003A0C1A" w:rsidRPr="001E2023">
        <w:rPr>
          <w:noProof/>
        </w:rPr>
        <w:t>druhej uvedenej smernici. Okrem toho táto smernica obsahuje ďalšie vymedzenia potrebné na zohľadnenie ďalšieho medzinárodného vývoja</w:t>
      </w:r>
      <w:r w:rsidR="001E2023">
        <w:rPr>
          <w:noProof/>
        </w:rPr>
        <w:t xml:space="preserve"> v </w:t>
      </w:r>
      <w:r w:rsidR="003A0C1A" w:rsidRPr="001E2023">
        <w:rPr>
          <w:noProof/>
        </w:rPr>
        <w:t>súvislosti</w:t>
      </w:r>
      <w:r w:rsidR="001E2023">
        <w:rPr>
          <w:noProof/>
        </w:rPr>
        <w:t xml:space="preserve"> s </w:t>
      </w:r>
      <w:r w:rsidR="003A0C1A" w:rsidRPr="001E2023">
        <w:rPr>
          <w:noProof/>
        </w:rPr>
        <w:t>výmenou informácií</w:t>
      </w:r>
      <w:r w:rsidR="001E2023">
        <w:rPr>
          <w:noProof/>
        </w:rPr>
        <w:t xml:space="preserve"> v </w:t>
      </w:r>
      <w:r w:rsidR="003A0C1A" w:rsidRPr="001E2023">
        <w:rPr>
          <w:noProof/>
        </w:rPr>
        <w:t>oblasti daní</w:t>
      </w:r>
      <w:r w:rsidR="001E2023" w:rsidRPr="001E2023">
        <w:rPr>
          <w:noProof/>
        </w:rPr>
        <w:t>.</w:t>
      </w:r>
    </w:p>
    <w:p w14:paraId="6D869378" w14:textId="77777777" w:rsidR="001E2023" w:rsidRPr="001E2023" w:rsidRDefault="00C149E3" w:rsidP="00C149E3">
      <w:pPr>
        <w:pStyle w:val="ManualConsidrant"/>
        <w:rPr>
          <w:noProof/>
        </w:rPr>
      </w:pPr>
      <w:r w:rsidRPr="00C149E3">
        <w:rPr>
          <w:noProof/>
        </w:rPr>
        <w:t>(13)</w:t>
      </w:r>
      <w:r w:rsidRPr="00C149E3">
        <w:rPr>
          <w:noProof/>
        </w:rPr>
        <w:tab/>
      </w:r>
      <w:r w:rsidR="4FF8D0A3" w:rsidRPr="001E2023">
        <w:rPr>
          <w:noProof/>
        </w:rPr>
        <w:t>Veľké vnútroštátne skupiny sú zahrnuté do požiadaviek na oznamovanie uvedených</w:t>
      </w:r>
      <w:r w:rsidR="001E2023" w:rsidRPr="001E2023">
        <w:rPr>
          <w:noProof/>
        </w:rPr>
        <w:t xml:space="preserve"> v </w:t>
      </w:r>
      <w:r w:rsidR="4FF8D0A3" w:rsidRPr="001E2023">
        <w:rPr>
          <w:noProof/>
        </w:rPr>
        <w:t>smernici Rady (EÚ) 2022/2523</w:t>
      </w:r>
      <w:r w:rsidR="001E2023" w:rsidRPr="001E2023">
        <w:rPr>
          <w:noProof/>
        </w:rPr>
        <w:t xml:space="preserve"> a </w:t>
      </w:r>
      <w:r w:rsidR="4FF8D0A3" w:rsidRPr="001E2023">
        <w:rPr>
          <w:noProof/>
        </w:rPr>
        <w:t>musia predložiť prehľad štruktúry, ako aj daňových povinností za celú veľkú vnútroštátnu skupinu, aj keď je tento prehľad relevantný len pre daňovú správu</w:t>
      </w:r>
      <w:r w:rsidR="001E2023" w:rsidRPr="001E2023">
        <w:rPr>
          <w:noProof/>
        </w:rPr>
        <w:t xml:space="preserve"> v </w:t>
      </w:r>
      <w:r w:rsidR="4FF8D0A3" w:rsidRPr="001E2023">
        <w:rPr>
          <w:noProof/>
        </w:rPr>
        <w:t>členskom štáte,</w:t>
      </w:r>
      <w:r w:rsidR="001E2023" w:rsidRPr="001E2023">
        <w:rPr>
          <w:noProof/>
        </w:rPr>
        <w:t xml:space="preserve"> v </w:t>
      </w:r>
      <w:r w:rsidR="4FF8D0A3" w:rsidRPr="001E2023">
        <w:rPr>
          <w:noProof/>
        </w:rPr>
        <w:t>ktorom sa nachádza. Na minimalizáciu administratívneho zaťaženia dotknutého členského štátu</w:t>
      </w:r>
      <w:r w:rsidR="001E2023" w:rsidRPr="001E2023">
        <w:rPr>
          <w:noProof/>
        </w:rPr>
        <w:t xml:space="preserve"> a </w:t>
      </w:r>
      <w:r w:rsidR="4FF8D0A3" w:rsidRPr="001E2023">
        <w:rPr>
          <w:noProof/>
        </w:rPr>
        <w:t>zachovanie rovnakého zaobchádzania stanoveného</w:t>
      </w:r>
      <w:r w:rsidR="001E2023" w:rsidRPr="001E2023">
        <w:rPr>
          <w:noProof/>
        </w:rPr>
        <w:t xml:space="preserve"> v </w:t>
      </w:r>
      <w:r w:rsidR="4FF8D0A3" w:rsidRPr="001E2023">
        <w:rPr>
          <w:noProof/>
        </w:rPr>
        <w:t>smernici Rady (EÚ) 2022/2523 by veľké vnútroštátne skupiny mali predkladať svoje oznámenia použitím vzoru uvedeného</w:t>
      </w:r>
      <w:r w:rsidR="001E2023" w:rsidRPr="001E2023">
        <w:rPr>
          <w:noProof/>
        </w:rPr>
        <w:t xml:space="preserve"> v </w:t>
      </w:r>
      <w:r w:rsidR="4FF8D0A3" w:rsidRPr="001E2023">
        <w:rPr>
          <w:noProof/>
        </w:rPr>
        <w:t>prílohe</w:t>
      </w:r>
      <w:r w:rsidR="001E2023" w:rsidRPr="001E2023">
        <w:rPr>
          <w:noProof/>
        </w:rPr>
        <w:t xml:space="preserve"> k </w:t>
      </w:r>
      <w:r w:rsidR="4FF8D0A3" w:rsidRPr="001E2023">
        <w:rPr>
          <w:noProof/>
        </w:rPr>
        <w:t>tejto smernici</w:t>
      </w:r>
      <w:r w:rsidR="001E2023" w:rsidRPr="001E2023">
        <w:rPr>
          <w:noProof/>
        </w:rPr>
        <w:t>.</w:t>
      </w:r>
    </w:p>
    <w:p w14:paraId="5ED44FEA" w14:textId="77777777" w:rsidR="00445573" w:rsidRPr="001E2023" w:rsidRDefault="00C149E3" w:rsidP="00C149E3">
      <w:pPr>
        <w:pStyle w:val="ManualConsidrant"/>
        <w:rPr>
          <w:noProof/>
        </w:rPr>
      </w:pPr>
      <w:r w:rsidRPr="00C149E3">
        <w:rPr>
          <w:noProof/>
        </w:rPr>
        <w:t>(14)</w:t>
      </w:r>
      <w:r w:rsidRPr="00C149E3">
        <w:rPr>
          <w:noProof/>
        </w:rPr>
        <w:tab/>
      </w:r>
      <w:r w:rsidR="008D3199" w:rsidRPr="001E2023">
        <w:rPr>
          <w:noProof/>
        </w:rPr>
        <w:t>V článku 44 ods. 5 smernice Rady (EÚ) 2022/2523 sa stanovuje podávanie oznámenia</w:t>
      </w:r>
      <w:r w:rsidR="001E2023">
        <w:rPr>
          <w:noProof/>
        </w:rPr>
        <w:t xml:space="preserve"> s </w:t>
      </w:r>
      <w:r w:rsidR="008D3199" w:rsidRPr="001E2023">
        <w:rPr>
          <w:noProof/>
        </w:rPr>
        <w:t>informáciami na určenie dorovnávacej dane</w:t>
      </w:r>
      <w:r w:rsidR="001E2023">
        <w:rPr>
          <w:noProof/>
        </w:rPr>
        <w:t xml:space="preserve"> v </w:t>
      </w:r>
      <w:r w:rsidR="008D3199" w:rsidRPr="001E2023">
        <w:rPr>
          <w:noProof/>
        </w:rPr>
        <w:t>štandardnom vzore. Inkluzívny rámec OECD/G20 vypracoval takýto štandardný vzor</w:t>
      </w:r>
      <w:r w:rsidR="005F3E55" w:rsidRPr="001E2023">
        <w:rPr>
          <w:rStyle w:val="Odkaznapoznmkupodiarou"/>
          <w:noProof/>
        </w:rPr>
        <w:footnoteReference w:id="12"/>
      </w:r>
      <w:r w:rsidR="008D3199" w:rsidRPr="001E2023">
        <w:rPr>
          <w:noProof/>
        </w:rPr>
        <w:t xml:space="preserve"> obsahujúci informácie, ktoré daňová správa potrebuje na vykonanie primeraného posúdenia rizika</w:t>
      </w:r>
      <w:r w:rsidR="001E2023">
        <w:rPr>
          <w:noProof/>
        </w:rPr>
        <w:t xml:space="preserve"> a </w:t>
      </w:r>
      <w:r w:rsidR="008D3199" w:rsidRPr="001E2023">
        <w:rPr>
          <w:noProof/>
        </w:rPr>
        <w:t>na zhodnotenie správnosti povinnosti základného subjektu týkajúcej sa dorovnávacej dane. Inkluzívny rámec OECD/G20 vypracoval aj pokyny</w:t>
      </w:r>
      <w:r w:rsidR="00AE2132" w:rsidRPr="001E2023">
        <w:rPr>
          <w:rStyle w:val="Odkaznapoznmkupodiarou"/>
          <w:noProof/>
        </w:rPr>
        <w:footnoteReference w:id="13"/>
      </w:r>
      <w:r w:rsidR="008D3199" w:rsidRPr="001E2023">
        <w:rPr>
          <w:noProof/>
        </w:rPr>
        <w:t xml:space="preserve"> na vyplnenie štandardného vzoru, ktoré budú pre nadnárodné podniky užitočným zdrojom výkladu pri podávaní oznámenia</w:t>
      </w:r>
      <w:r w:rsidR="001E2023">
        <w:rPr>
          <w:noProof/>
        </w:rPr>
        <w:t xml:space="preserve"> s </w:t>
      </w:r>
      <w:r w:rsidR="008D3199" w:rsidRPr="001E2023">
        <w:rPr>
          <w:noProof/>
        </w:rPr>
        <w:t>informáciami na určenie dorovnávacej dane. Preto je vhodné</w:t>
      </w:r>
      <w:r w:rsidR="001E2023">
        <w:rPr>
          <w:noProof/>
        </w:rPr>
        <w:t xml:space="preserve"> v </w:t>
      </w:r>
      <w:r w:rsidR="008D3199" w:rsidRPr="001E2023">
        <w:rPr>
          <w:noProof/>
        </w:rPr>
        <w:t>novej prílohe</w:t>
      </w:r>
      <w:r w:rsidR="001E2023">
        <w:rPr>
          <w:noProof/>
        </w:rPr>
        <w:t xml:space="preserve"> k </w:t>
      </w:r>
      <w:r w:rsidR="008D3199" w:rsidRPr="001E2023">
        <w:rPr>
          <w:noProof/>
        </w:rPr>
        <w:t>smernici Rady 2011/16/EÚ (príloha VII) stanoviť štandardný formulár</w:t>
      </w:r>
      <w:r w:rsidR="001E2023">
        <w:rPr>
          <w:noProof/>
        </w:rPr>
        <w:t xml:space="preserve"> v </w:t>
      </w:r>
      <w:r w:rsidR="008D3199" w:rsidRPr="001E2023">
        <w:rPr>
          <w:noProof/>
        </w:rPr>
        <w:t>súlade</w:t>
      </w:r>
      <w:r w:rsidR="001E2023">
        <w:rPr>
          <w:noProof/>
        </w:rPr>
        <w:t xml:space="preserve"> s </w:t>
      </w:r>
      <w:r w:rsidR="008D3199" w:rsidRPr="001E2023">
        <w:rPr>
          <w:noProof/>
        </w:rPr>
        <w:t>formulárom, ktorý vypracoval inkluzívny rámec OECD/G20, na podávanie oznámenia</w:t>
      </w:r>
      <w:r w:rsidR="001E2023">
        <w:rPr>
          <w:noProof/>
        </w:rPr>
        <w:t xml:space="preserve"> s </w:t>
      </w:r>
      <w:r w:rsidR="008D3199" w:rsidRPr="001E2023">
        <w:rPr>
          <w:noProof/>
        </w:rPr>
        <w:t>informáciami na určenie dorovnávacej dane podľa smernice Rady 2011/16/EÚ zmenenej touto smernicou</w:t>
      </w:r>
      <w:r w:rsidR="001E2023">
        <w:rPr>
          <w:noProof/>
        </w:rPr>
        <w:t xml:space="preserve"> a </w:t>
      </w:r>
      <w:r w:rsidR="008D3199" w:rsidRPr="001E2023">
        <w:rPr>
          <w:noProof/>
        </w:rPr>
        <w:t>smernicou Rady (EÚ) 2022/2523.</w:t>
      </w:r>
    </w:p>
    <w:p w14:paraId="120A9E73" w14:textId="77777777" w:rsidR="0039018B" w:rsidRPr="001E2023" w:rsidRDefault="00C149E3" w:rsidP="00C149E3">
      <w:pPr>
        <w:pStyle w:val="ManualConsidrant"/>
        <w:rPr>
          <w:noProof/>
        </w:rPr>
      </w:pPr>
      <w:r w:rsidRPr="00C149E3">
        <w:rPr>
          <w:noProof/>
        </w:rPr>
        <w:t>(15)</w:t>
      </w:r>
      <w:r w:rsidRPr="00C149E3">
        <w:rPr>
          <w:noProof/>
        </w:rPr>
        <w:tab/>
      </w:r>
      <w:r w:rsidR="00AD7FF3" w:rsidRPr="001E2023">
        <w:rPr>
          <w:noProof/>
        </w:rPr>
        <w:t>Štandardný vzor oznámenia</w:t>
      </w:r>
      <w:r w:rsidR="001E2023" w:rsidRPr="001E2023">
        <w:rPr>
          <w:noProof/>
        </w:rPr>
        <w:t xml:space="preserve"> s </w:t>
      </w:r>
      <w:r w:rsidR="00AD7FF3" w:rsidRPr="001E2023">
        <w:rPr>
          <w:noProof/>
        </w:rPr>
        <w:t>informáciami na určenie dorovnávacej dane stanovený</w:t>
      </w:r>
      <w:r w:rsidR="001E2023" w:rsidRPr="001E2023">
        <w:rPr>
          <w:noProof/>
        </w:rPr>
        <w:t xml:space="preserve"> v </w:t>
      </w:r>
      <w:r w:rsidR="00AD7FF3" w:rsidRPr="001E2023">
        <w:rPr>
          <w:noProof/>
        </w:rPr>
        <w:t>tejto smernici zabezpečuje, aby informácie</w:t>
      </w:r>
      <w:r w:rsidR="001E2023" w:rsidRPr="001E2023">
        <w:rPr>
          <w:noProof/>
        </w:rPr>
        <w:t xml:space="preserve"> a </w:t>
      </w:r>
      <w:r w:rsidR="00AD7FF3" w:rsidRPr="001E2023">
        <w:rPr>
          <w:noProof/>
        </w:rPr>
        <w:t xml:space="preserve">daňové výpočty, ktoré musí </w:t>
      </w:r>
      <w:r w:rsidR="00AD7FF3" w:rsidRPr="001E2023">
        <w:rPr>
          <w:noProof/>
        </w:rPr>
        <w:lastRenderedPageBreak/>
        <w:t>nadnárodný podnik podať</w:t>
      </w:r>
      <w:r w:rsidR="001E2023" w:rsidRPr="001E2023">
        <w:rPr>
          <w:noProof/>
        </w:rPr>
        <w:t xml:space="preserve"> v </w:t>
      </w:r>
      <w:r w:rsidR="00AD7FF3" w:rsidRPr="001E2023">
        <w:rPr>
          <w:noProof/>
        </w:rPr>
        <w:t>rámci oznámenia</w:t>
      </w:r>
      <w:r w:rsidR="001E2023" w:rsidRPr="001E2023">
        <w:rPr>
          <w:noProof/>
        </w:rPr>
        <w:t xml:space="preserve"> s </w:t>
      </w:r>
      <w:r w:rsidR="00AD7FF3" w:rsidRPr="001E2023">
        <w:rPr>
          <w:noProof/>
        </w:rPr>
        <w:t>informáciami na určenie dorovnávacej dane, boli dostatočne komplexné, aby daňovým správam umožnili vykonať primerané posúdenie rizika</w:t>
      </w:r>
      <w:r w:rsidR="001E2023" w:rsidRPr="001E2023">
        <w:rPr>
          <w:noProof/>
        </w:rPr>
        <w:t xml:space="preserve"> a </w:t>
      </w:r>
      <w:r w:rsidR="00AD7FF3" w:rsidRPr="001E2023">
        <w:rPr>
          <w:noProof/>
        </w:rPr>
        <w:t>zhodnotiť správnosť daňovej povinnosti základného subjektu podľa smernice Rady (EÚ) 2022/2523. Zároveň je jeho účelom zabrániť tomu, aby sa nadnárodným podnikom ukladali zbytočné požiadavky na zber informácií, výpočet</w:t>
      </w:r>
      <w:r w:rsidR="001E2023" w:rsidRPr="001E2023">
        <w:rPr>
          <w:noProof/>
        </w:rPr>
        <w:t xml:space="preserve"> a </w:t>
      </w:r>
      <w:r w:rsidR="00AD7FF3" w:rsidRPr="001E2023">
        <w:rPr>
          <w:noProof/>
        </w:rPr>
        <w:t>oznamovanie alebo aby boli daňovníci vystavení viacnásobným nekoordinovaným žiadostiam</w:t>
      </w:r>
      <w:r w:rsidR="001E2023" w:rsidRPr="001E2023">
        <w:rPr>
          <w:noProof/>
        </w:rPr>
        <w:t xml:space="preserve"> o </w:t>
      </w:r>
      <w:r w:rsidR="00AD7FF3" w:rsidRPr="001E2023">
        <w:rPr>
          <w:noProof/>
        </w:rPr>
        <w:t>ďalšie informácie</w:t>
      </w:r>
      <w:r w:rsidR="001E2023" w:rsidRPr="001E2023">
        <w:rPr>
          <w:noProof/>
        </w:rPr>
        <w:t xml:space="preserve"> v </w:t>
      </w:r>
      <w:r w:rsidR="00AD7FF3" w:rsidRPr="001E2023">
        <w:rPr>
          <w:noProof/>
        </w:rPr>
        <w:t>každej vykonávajúcej jurisdikcii. Štandardizované oznámenia</w:t>
      </w:r>
      <w:r w:rsidR="001E2023" w:rsidRPr="001E2023">
        <w:rPr>
          <w:noProof/>
        </w:rPr>
        <w:t xml:space="preserve"> s </w:t>
      </w:r>
      <w:r w:rsidR="00AD7FF3" w:rsidRPr="001E2023">
        <w:rPr>
          <w:noProof/>
        </w:rPr>
        <w:t>informáciami nebránia daňovej správe požadovať</w:t>
      </w:r>
      <w:r w:rsidR="001E2023" w:rsidRPr="001E2023">
        <w:rPr>
          <w:noProof/>
        </w:rPr>
        <w:t xml:space="preserve"> v </w:t>
      </w:r>
      <w:r w:rsidR="00AD7FF3" w:rsidRPr="001E2023">
        <w:rPr>
          <w:noProof/>
        </w:rPr>
        <w:t>následných žiadostiach podporné informácie potrebné na overenie dodržiavania smernice Rady (EÚ) 2022/2523 podľa vnútroštátneho práva. Jurisdikcie by však vo všeobecnosti nemali požadovať oznamovanie ďalších údajových bodov nad rámec oznámenia</w:t>
      </w:r>
      <w:r w:rsidR="001E2023" w:rsidRPr="001E2023">
        <w:rPr>
          <w:noProof/>
        </w:rPr>
        <w:t xml:space="preserve"> s </w:t>
      </w:r>
      <w:r w:rsidR="00AD7FF3" w:rsidRPr="001E2023">
        <w:rPr>
          <w:noProof/>
        </w:rPr>
        <w:t>informáciami na určenie dorovnávacej dane ako súčasť svojich bežných požiadaviek na daňové priznanie</w:t>
      </w:r>
      <w:r w:rsidR="001E2023" w:rsidRPr="001E2023">
        <w:rPr>
          <w:noProof/>
        </w:rPr>
        <w:t xml:space="preserve"> a </w:t>
      </w:r>
      <w:r w:rsidR="00AD7FF3" w:rsidRPr="001E2023">
        <w:rPr>
          <w:noProof/>
        </w:rPr>
        <w:t>platbu</w:t>
      </w:r>
      <w:r w:rsidR="001E2023" w:rsidRPr="001E2023">
        <w:rPr>
          <w:noProof/>
        </w:rPr>
        <w:t xml:space="preserve"> a </w:t>
      </w:r>
      <w:r w:rsidR="00AD7FF3" w:rsidRPr="001E2023">
        <w:rPr>
          <w:noProof/>
        </w:rPr>
        <w:t>všetky takéto informácie by sa mali týkať napríklad povinnosti, časového rozvrhu</w:t>
      </w:r>
      <w:r w:rsidR="001E2023" w:rsidRPr="001E2023">
        <w:rPr>
          <w:noProof/>
        </w:rPr>
        <w:t xml:space="preserve"> a </w:t>
      </w:r>
      <w:r w:rsidR="00AD7FF3" w:rsidRPr="001E2023">
        <w:rPr>
          <w:noProof/>
        </w:rPr>
        <w:t>spôsobu platby alebo identifikácie daňovníka</w:t>
      </w:r>
      <w:r w:rsidR="001E2023" w:rsidRPr="001E2023">
        <w:rPr>
          <w:noProof/>
        </w:rPr>
        <w:t xml:space="preserve"> a </w:t>
      </w:r>
      <w:r w:rsidR="00AD7FF3" w:rsidRPr="001E2023">
        <w:rPr>
          <w:noProof/>
        </w:rPr>
        <w:t>kontaktných údajov,</w:t>
      </w:r>
      <w:r w:rsidR="001E2023" w:rsidRPr="001E2023">
        <w:rPr>
          <w:noProof/>
        </w:rPr>
        <w:t xml:space="preserve"> a </w:t>
      </w:r>
      <w:r w:rsidR="00AD7FF3" w:rsidRPr="001E2023">
        <w:rPr>
          <w:noProof/>
        </w:rPr>
        <w:t>nie výpočtu povinnosti základného subjektu týkajúcej sa dorovnávacej dane.</w:t>
      </w:r>
    </w:p>
    <w:p w14:paraId="3C6D5E78" w14:textId="77777777" w:rsidR="00406CE8" w:rsidRPr="001E2023" w:rsidRDefault="00C149E3" w:rsidP="00C149E3">
      <w:pPr>
        <w:pStyle w:val="ManualConsidrant"/>
        <w:rPr>
          <w:noProof/>
        </w:rPr>
      </w:pPr>
      <w:r w:rsidRPr="00C149E3">
        <w:rPr>
          <w:noProof/>
        </w:rPr>
        <w:t>(16)</w:t>
      </w:r>
      <w:r w:rsidRPr="00C149E3">
        <w:rPr>
          <w:noProof/>
        </w:rPr>
        <w:tab/>
      </w:r>
      <w:r w:rsidR="00567E7F" w:rsidRPr="001E2023">
        <w:rPr>
          <w:noProof/>
        </w:rPr>
        <w:t>S cieľom zabezpečiť, aby štandardný vzor oznámenia</w:t>
      </w:r>
      <w:r w:rsidR="001E2023">
        <w:rPr>
          <w:noProof/>
        </w:rPr>
        <w:t xml:space="preserve"> s </w:t>
      </w:r>
      <w:r w:rsidR="00567E7F" w:rsidRPr="001E2023">
        <w:rPr>
          <w:noProof/>
        </w:rPr>
        <w:t>informáciami na určenie dorovnávacej dane zostal</w:t>
      </w:r>
      <w:r w:rsidR="001E2023">
        <w:rPr>
          <w:noProof/>
        </w:rPr>
        <w:t xml:space="preserve"> v </w:t>
      </w:r>
      <w:r w:rsidR="00567E7F" w:rsidRPr="001E2023">
        <w:rPr>
          <w:noProof/>
        </w:rPr>
        <w:t>súlade</w:t>
      </w:r>
      <w:r w:rsidR="001E2023">
        <w:rPr>
          <w:noProof/>
        </w:rPr>
        <w:t xml:space="preserve"> s </w:t>
      </w:r>
      <w:r w:rsidR="00567E7F" w:rsidRPr="001E2023">
        <w:rPr>
          <w:noProof/>
        </w:rPr>
        <w:t>medzinárodným vývojom, by sa mala na Komisiu delegovať právomoc prijímať akty</w:t>
      </w:r>
      <w:r w:rsidR="001E2023">
        <w:rPr>
          <w:noProof/>
        </w:rPr>
        <w:t xml:space="preserve"> v </w:t>
      </w:r>
      <w:r w:rsidR="00567E7F" w:rsidRPr="001E2023">
        <w:rPr>
          <w:noProof/>
        </w:rPr>
        <w:t>súlade</w:t>
      </w:r>
      <w:r w:rsidR="001E2023">
        <w:rPr>
          <w:noProof/>
        </w:rPr>
        <w:t xml:space="preserve"> s </w:t>
      </w:r>
      <w:r w:rsidR="00567E7F" w:rsidRPr="001E2023">
        <w:rPr>
          <w:noProof/>
        </w:rPr>
        <w:t>článkom 290 Zmluvy</w:t>
      </w:r>
      <w:r w:rsidR="001E2023">
        <w:rPr>
          <w:noProof/>
        </w:rPr>
        <w:t xml:space="preserve"> o </w:t>
      </w:r>
      <w:r w:rsidR="00567E7F" w:rsidRPr="001E2023">
        <w:rPr>
          <w:noProof/>
        </w:rPr>
        <w:t>fungovaní Európskej únie, ktorými by sa</w:t>
      </w:r>
      <w:r w:rsidR="001E2023">
        <w:rPr>
          <w:noProof/>
        </w:rPr>
        <w:t xml:space="preserve"> v </w:t>
      </w:r>
      <w:r w:rsidR="00567E7F" w:rsidRPr="001E2023">
        <w:rPr>
          <w:noProof/>
        </w:rPr>
        <w:t>prípade potreby zmenil oddiel III prílohy VII</w:t>
      </w:r>
      <w:r w:rsidR="001E2023">
        <w:rPr>
          <w:noProof/>
        </w:rPr>
        <w:t xml:space="preserve"> k </w:t>
      </w:r>
      <w:r w:rsidR="00567E7F" w:rsidRPr="001E2023">
        <w:rPr>
          <w:noProof/>
        </w:rPr>
        <w:t>smernici Rady 2011/16/EÚ. Je osobitne dôležité, aby Komisia počas prípravných prác uskutočnila príslušné konzultácie,</w:t>
      </w:r>
      <w:r w:rsidR="001E2023">
        <w:rPr>
          <w:noProof/>
        </w:rPr>
        <w:t xml:space="preserve"> a </w:t>
      </w:r>
      <w:r w:rsidR="00567E7F" w:rsidRPr="001E2023">
        <w:rPr>
          <w:noProof/>
        </w:rPr>
        <w:t>to aj na úrovni expertov,</w:t>
      </w:r>
      <w:r w:rsidR="001E2023">
        <w:rPr>
          <w:noProof/>
        </w:rPr>
        <w:t xml:space="preserve"> a </w:t>
      </w:r>
      <w:r w:rsidR="00567E7F" w:rsidRPr="001E2023">
        <w:rPr>
          <w:noProof/>
        </w:rPr>
        <w:t>aby tieto konzultácie vykonávala</w:t>
      </w:r>
      <w:r w:rsidR="001E2023">
        <w:rPr>
          <w:noProof/>
        </w:rPr>
        <w:t xml:space="preserve"> v </w:t>
      </w:r>
      <w:r w:rsidR="00567E7F" w:rsidRPr="001E2023">
        <w:rPr>
          <w:noProof/>
        </w:rPr>
        <w:t>súlade so zásadami stanovenými</w:t>
      </w:r>
      <w:r w:rsidR="001E2023">
        <w:rPr>
          <w:noProof/>
        </w:rPr>
        <w:t xml:space="preserve"> v </w:t>
      </w:r>
      <w:r w:rsidR="00567E7F" w:rsidRPr="001E2023">
        <w:rPr>
          <w:noProof/>
        </w:rPr>
        <w:t>Medziinštitucionálnej dohode</w:t>
      </w:r>
      <w:r w:rsidR="001E2023">
        <w:rPr>
          <w:noProof/>
        </w:rPr>
        <w:t xml:space="preserve"> o </w:t>
      </w:r>
      <w:r w:rsidR="00567E7F" w:rsidRPr="001E2023">
        <w:rPr>
          <w:noProof/>
        </w:rPr>
        <w:t>lepšej tvorbe práva</w:t>
      </w:r>
      <w:r w:rsidR="001E2023">
        <w:rPr>
          <w:noProof/>
        </w:rPr>
        <w:t xml:space="preserve"> z </w:t>
      </w:r>
      <w:r w:rsidR="00567E7F" w:rsidRPr="001E2023">
        <w:rPr>
          <w:noProof/>
        </w:rPr>
        <w:t>13</w:t>
      </w:r>
      <w:r w:rsidR="001E2023">
        <w:rPr>
          <w:noProof/>
        </w:rPr>
        <w:t>. apríla</w:t>
      </w:r>
      <w:r w:rsidR="00567E7F" w:rsidRPr="001E2023">
        <w:rPr>
          <w:noProof/>
        </w:rPr>
        <w:t xml:space="preserve"> 2016</w:t>
      </w:r>
      <w:r w:rsidR="00567E7F" w:rsidRPr="001E2023">
        <w:rPr>
          <w:rStyle w:val="Odkaznapoznmkupodiarou"/>
          <w:noProof/>
        </w:rPr>
        <w:footnoteReference w:id="14"/>
      </w:r>
      <w:r w:rsidR="00567E7F" w:rsidRPr="001E2023">
        <w:rPr>
          <w:noProof/>
        </w:rPr>
        <w:t>. Predovšetkým,</w:t>
      </w:r>
      <w:r w:rsidR="001E2023">
        <w:rPr>
          <w:noProof/>
        </w:rPr>
        <w:t xml:space="preserve"> v </w:t>
      </w:r>
      <w:r w:rsidR="00567E7F" w:rsidRPr="001E2023">
        <w:rPr>
          <w:noProof/>
        </w:rPr>
        <w:t>záujme rovnakého zastúpenia pri príprave delegovaných aktov, sa všetky dokumenty doručujú Európskemu parlamentu</w:t>
      </w:r>
      <w:r w:rsidR="001E2023">
        <w:rPr>
          <w:noProof/>
        </w:rPr>
        <w:t xml:space="preserve"> a </w:t>
      </w:r>
      <w:r w:rsidR="00567E7F" w:rsidRPr="001E2023">
        <w:rPr>
          <w:noProof/>
        </w:rPr>
        <w:t>Rade</w:t>
      </w:r>
      <w:r w:rsidR="001E2023">
        <w:rPr>
          <w:noProof/>
        </w:rPr>
        <w:t xml:space="preserve"> v </w:t>
      </w:r>
      <w:r w:rsidR="00567E7F" w:rsidRPr="001E2023">
        <w:rPr>
          <w:noProof/>
        </w:rPr>
        <w:t>rovnakom čase ako expertom</w:t>
      </w:r>
      <w:r w:rsidR="001E2023">
        <w:rPr>
          <w:noProof/>
        </w:rPr>
        <w:t xml:space="preserve"> z </w:t>
      </w:r>
      <w:r w:rsidR="00567E7F" w:rsidRPr="001E2023">
        <w:rPr>
          <w:noProof/>
        </w:rPr>
        <w:t>členských štátov</w:t>
      </w:r>
      <w:r w:rsidR="001E2023">
        <w:rPr>
          <w:noProof/>
        </w:rPr>
        <w:t xml:space="preserve"> a </w:t>
      </w:r>
      <w:r w:rsidR="00567E7F" w:rsidRPr="001E2023">
        <w:rPr>
          <w:noProof/>
        </w:rPr>
        <w:t>experti Európskeho parlamentu</w:t>
      </w:r>
      <w:r w:rsidR="001E2023">
        <w:rPr>
          <w:noProof/>
        </w:rPr>
        <w:t xml:space="preserve"> a </w:t>
      </w:r>
      <w:r w:rsidR="00567E7F" w:rsidRPr="001E2023">
        <w:rPr>
          <w:noProof/>
        </w:rPr>
        <w:t>Rady majú systematický prístup na zasadnutia skupín expertov Komisie, ktoré sa zaoberajú prípravou delegovaných aktov.</w:t>
      </w:r>
    </w:p>
    <w:p w14:paraId="4ACE0061" w14:textId="77777777" w:rsidR="006F7BBE" w:rsidRPr="001E2023" w:rsidRDefault="00C149E3" w:rsidP="00C149E3">
      <w:pPr>
        <w:pStyle w:val="ManualConsidrant"/>
        <w:rPr>
          <w:noProof/>
        </w:rPr>
      </w:pPr>
      <w:r w:rsidRPr="00C149E3">
        <w:rPr>
          <w:noProof/>
        </w:rPr>
        <w:t>(17)</w:t>
      </w:r>
      <w:r w:rsidRPr="00C149E3">
        <w:rPr>
          <w:noProof/>
        </w:rPr>
        <w:tab/>
      </w:r>
      <w:r w:rsidR="00567E7F" w:rsidRPr="001E2023">
        <w:rPr>
          <w:noProof/>
        </w:rPr>
        <w:t>Keďže cieľ tejto smernice, ktorým je poskytnutie rámca pre operatívne vykonávanie smernice Rady (EÚ) 2022/2523 na základe spoločného prístupu obsiahnutého</w:t>
      </w:r>
      <w:r w:rsidR="001E2023" w:rsidRPr="001E2023">
        <w:rPr>
          <w:noProof/>
        </w:rPr>
        <w:t xml:space="preserve"> v </w:t>
      </w:r>
      <w:r w:rsidR="00567E7F" w:rsidRPr="001E2023">
        <w:rPr>
          <w:noProof/>
        </w:rPr>
        <w:t>modelových pravidlách OECD, nemožno dostatočne dosiahnuť, ak budú jednotlivé členské štáty konať samostatne, pretože nezávislé kroky členských štátov by mohli viesť</w:t>
      </w:r>
      <w:r w:rsidR="001E2023" w:rsidRPr="001E2023">
        <w:rPr>
          <w:noProof/>
        </w:rPr>
        <w:t xml:space="preserve"> k </w:t>
      </w:r>
      <w:r w:rsidR="00567E7F" w:rsidRPr="001E2023">
        <w:rPr>
          <w:noProof/>
        </w:rPr>
        <w:t>riziku rozdrobenia vnútorného trhu, ale ho vzhľadom na rozsah reformy spočívajúcej</w:t>
      </w:r>
      <w:r w:rsidR="001E2023" w:rsidRPr="001E2023">
        <w:rPr>
          <w:noProof/>
        </w:rPr>
        <w:t xml:space="preserve"> v </w:t>
      </w:r>
      <w:r w:rsidR="00567E7F" w:rsidRPr="001E2023">
        <w:rPr>
          <w:noProof/>
        </w:rPr>
        <w:t>zavedení globálnej minimálnej dane</w:t>
      </w:r>
      <w:r w:rsidR="001E2023" w:rsidRPr="001E2023">
        <w:rPr>
          <w:noProof/>
        </w:rPr>
        <w:t xml:space="preserve"> a </w:t>
      </w:r>
      <w:r w:rsidR="00567E7F" w:rsidRPr="001E2023">
        <w:rPr>
          <w:noProof/>
        </w:rPr>
        <w:t>na zásadný význam prijatia riešení, ktoré budú fungovať pre vnútorný trh ako celok, možno lepšie dosiahnuť na úrovni Únie, môže Únia prijať opatrenia</w:t>
      </w:r>
      <w:r w:rsidR="001E2023" w:rsidRPr="001E2023">
        <w:rPr>
          <w:noProof/>
        </w:rPr>
        <w:t xml:space="preserve"> v </w:t>
      </w:r>
      <w:r w:rsidR="00567E7F" w:rsidRPr="001E2023">
        <w:rPr>
          <w:noProof/>
        </w:rPr>
        <w:t>súlade so zásadou subsidiarity podľa článku 5 Zmluvy</w:t>
      </w:r>
      <w:r w:rsidR="001E2023" w:rsidRPr="001E2023">
        <w:rPr>
          <w:noProof/>
        </w:rPr>
        <w:t xml:space="preserve"> o </w:t>
      </w:r>
      <w:r w:rsidR="00567E7F" w:rsidRPr="001E2023">
        <w:rPr>
          <w:noProof/>
        </w:rPr>
        <w:t>Európskej únii.</w:t>
      </w:r>
      <w:r w:rsidR="001E2023" w:rsidRPr="001E2023">
        <w:rPr>
          <w:noProof/>
        </w:rPr>
        <w:t xml:space="preserve"> V </w:t>
      </w:r>
      <w:r w:rsidR="00567E7F" w:rsidRPr="001E2023">
        <w:rPr>
          <w:noProof/>
        </w:rPr>
        <w:t>súlade so zásadou proporcionality podľa uvedeného článku táto smernica neprekračuje rámec nevyhnutný na dosiahnutie tohto cieľa.</w:t>
      </w:r>
    </w:p>
    <w:p w14:paraId="5BF15A76" w14:textId="77777777" w:rsidR="006F7BBE" w:rsidRPr="001E2023" w:rsidRDefault="00C149E3" w:rsidP="00C149E3">
      <w:pPr>
        <w:pStyle w:val="ManualConsidrant"/>
        <w:rPr>
          <w:noProof/>
        </w:rPr>
      </w:pPr>
      <w:r w:rsidRPr="00C149E3">
        <w:rPr>
          <w:noProof/>
        </w:rPr>
        <w:t>(18)</w:t>
      </w:r>
      <w:r w:rsidRPr="00C149E3">
        <w:rPr>
          <w:noProof/>
        </w:rPr>
        <w:tab/>
      </w:r>
      <w:r w:rsidR="000A7874" w:rsidRPr="001E2023">
        <w:rPr>
          <w:noProof/>
        </w:rPr>
        <w:t>Smernica 2011/16/EÚ by sa preto mala zodpovedajúcim spôsobom zmeniť,</w:t>
      </w:r>
    </w:p>
    <w:p w14:paraId="552836CF" w14:textId="77777777" w:rsidR="00EF7953" w:rsidRPr="001E2023" w:rsidRDefault="00EF7953" w:rsidP="004504F8">
      <w:pPr>
        <w:pStyle w:val="Formuledadoption"/>
        <w:rPr>
          <w:noProof/>
        </w:rPr>
      </w:pPr>
      <w:r w:rsidRPr="001E2023">
        <w:rPr>
          <w:noProof/>
        </w:rPr>
        <w:t>PRIJALA TÚTO SMERNICU:</w:t>
      </w:r>
    </w:p>
    <w:p w14:paraId="02CB8A28" w14:textId="77777777" w:rsidR="00EF7953" w:rsidRPr="001E2023" w:rsidRDefault="00EF7953">
      <w:pPr>
        <w:pStyle w:val="Titrearticle"/>
        <w:rPr>
          <w:noProof/>
        </w:rPr>
      </w:pPr>
      <w:r w:rsidRPr="001E2023">
        <w:rPr>
          <w:noProof/>
        </w:rPr>
        <w:t>Článok 1</w:t>
      </w:r>
    </w:p>
    <w:p w14:paraId="557FC3AC" w14:textId="77777777" w:rsidR="00EF7953" w:rsidRPr="001E2023" w:rsidRDefault="00145313">
      <w:pPr>
        <w:rPr>
          <w:noProof/>
        </w:rPr>
      </w:pPr>
      <w:r w:rsidRPr="001E2023">
        <w:rPr>
          <w:noProof/>
        </w:rPr>
        <w:t>Smernica Rady 2011/16/EÚ sa mení takto:</w:t>
      </w:r>
    </w:p>
    <w:p w14:paraId="21827E99" w14:textId="77777777" w:rsidR="004E3F84" w:rsidRPr="001E2023" w:rsidRDefault="001E2023" w:rsidP="001E2023">
      <w:pPr>
        <w:pStyle w:val="Point0"/>
        <w:rPr>
          <w:noProof/>
        </w:rPr>
      </w:pPr>
      <w:r>
        <w:rPr>
          <w:noProof/>
        </w:rPr>
        <w:lastRenderedPageBreak/>
        <w:t>1.</w:t>
      </w:r>
      <w:r>
        <w:rPr>
          <w:noProof/>
        </w:rPr>
        <w:tab/>
      </w:r>
      <w:r w:rsidR="00015138" w:rsidRPr="001E2023">
        <w:rPr>
          <w:noProof/>
        </w:rPr>
        <w:t>V článku 3 sa bod 9 mení takto:</w:t>
      </w:r>
    </w:p>
    <w:p w14:paraId="263F6749" w14:textId="77777777" w:rsidR="00DD0F37" w:rsidRPr="001E2023" w:rsidRDefault="001E2023" w:rsidP="001E2023">
      <w:pPr>
        <w:pStyle w:val="Point1"/>
        <w:rPr>
          <w:noProof/>
        </w:rPr>
      </w:pPr>
      <w:r>
        <w:rPr>
          <w:noProof/>
        </w:rPr>
        <w:t>a)</w:t>
      </w:r>
      <w:r>
        <w:rPr>
          <w:noProof/>
        </w:rPr>
        <w:tab/>
      </w:r>
      <w:r w:rsidR="00835DF9" w:rsidRPr="001E2023">
        <w:rPr>
          <w:noProof/>
        </w:rPr>
        <w:t>Prvý pododsek sa mení takto:</w:t>
      </w:r>
    </w:p>
    <w:p w14:paraId="696A1BBB" w14:textId="77777777" w:rsidR="00835DF9" w:rsidRPr="001E2023" w:rsidRDefault="001E2023" w:rsidP="001E2023">
      <w:pPr>
        <w:pStyle w:val="Point2"/>
        <w:rPr>
          <w:noProof/>
        </w:rPr>
      </w:pPr>
      <w:r>
        <w:rPr>
          <w:noProof/>
        </w:rPr>
        <w:t>a)</w:t>
      </w:r>
      <w:r>
        <w:rPr>
          <w:noProof/>
        </w:rPr>
        <w:tab/>
      </w:r>
      <w:r w:rsidR="00835DF9" w:rsidRPr="001E2023">
        <w:rPr>
          <w:noProof/>
        </w:rPr>
        <w:t>písmeno a) sa nahrádza takto:</w:t>
      </w:r>
    </w:p>
    <w:p w14:paraId="26B6C853" w14:textId="77777777" w:rsidR="00835DF9" w:rsidRPr="001E2023" w:rsidRDefault="00835DF9" w:rsidP="00015138">
      <w:pPr>
        <w:pStyle w:val="Point3"/>
        <w:rPr>
          <w:noProof/>
        </w:rPr>
      </w:pPr>
      <w:r w:rsidRPr="001E2023">
        <w:rPr>
          <w:noProof/>
        </w:rPr>
        <w:t>„a)</w:t>
      </w:r>
      <w:r w:rsidRPr="001E2023">
        <w:rPr>
          <w:noProof/>
        </w:rPr>
        <w:tab/>
        <w:t>na účely článku 8 ods. 1</w:t>
      </w:r>
      <w:r w:rsidR="001E2023">
        <w:rPr>
          <w:noProof/>
        </w:rPr>
        <w:t xml:space="preserve"> a </w:t>
      </w:r>
      <w:r w:rsidRPr="001E2023">
        <w:rPr>
          <w:noProof/>
        </w:rPr>
        <w:t>článkov 8a až 8ae systematické oznamovanie vopred určených informácií inému členskému štátu,</w:t>
      </w:r>
      <w:r w:rsidR="001E2023">
        <w:rPr>
          <w:noProof/>
        </w:rPr>
        <w:t xml:space="preserve"> a </w:t>
      </w:r>
      <w:r w:rsidRPr="001E2023">
        <w:rPr>
          <w:noProof/>
        </w:rPr>
        <w:t>to bez predchádzajúcej žiadosti</w:t>
      </w:r>
      <w:r w:rsidR="001E2023">
        <w:rPr>
          <w:noProof/>
        </w:rPr>
        <w:t xml:space="preserve"> a </w:t>
      </w:r>
      <w:r w:rsidRPr="001E2023">
        <w:rPr>
          <w:noProof/>
        </w:rPr>
        <w:t>vo vopred stanovených pravidelných intervaloch. Na účely článku 8 ods. 1 sa odkaz na dostupné informácie týka informácií, ktoré sa nachádzajú</w:t>
      </w:r>
      <w:r w:rsidR="001E2023">
        <w:rPr>
          <w:noProof/>
        </w:rPr>
        <w:t xml:space="preserve"> v </w:t>
      </w:r>
      <w:r w:rsidRPr="001E2023">
        <w:rPr>
          <w:noProof/>
        </w:rPr>
        <w:t>daňových spisoch členského štátu oznamujúceho informácie, ktoré možno získať</w:t>
      </w:r>
      <w:r w:rsidR="001E2023">
        <w:rPr>
          <w:noProof/>
        </w:rPr>
        <w:t xml:space="preserve"> v </w:t>
      </w:r>
      <w:r w:rsidRPr="001E2023">
        <w:rPr>
          <w:noProof/>
        </w:rPr>
        <w:t>súlade</w:t>
      </w:r>
      <w:r w:rsidR="001E2023">
        <w:rPr>
          <w:noProof/>
        </w:rPr>
        <w:t xml:space="preserve"> s </w:t>
      </w:r>
      <w:r w:rsidRPr="001E2023">
        <w:rPr>
          <w:noProof/>
        </w:rPr>
        <w:t>postupmi získavania</w:t>
      </w:r>
      <w:r w:rsidR="001E2023">
        <w:rPr>
          <w:noProof/>
        </w:rPr>
        <w:t xml:space="preserve"> a </w:t>
      </w:r>
      <w:r w:rsidRPr="001E2023">
        <w:rPr>
          <w:noProof/>
        </w:rPr>
        <w:t>spracúvania informácií</w:t>
      </w:r>
      <w:r w:rsidR="001E2023">
        <w:rPr>
          <w:noProof/>
        </w:rPr>
        <w:t xml:space="preserve"> v </w:t>
      </w:r>
      <w:r w:rsidRPr="001E2023">
        <w:rPr>
          <w:noProof/>
        </w:rPr>
        <w:t>uvedenom členskom štáte;“</w:t>
      </w:r>
      <w:r w:rsidR="00B41EC9" w:rsidRPr="001E2023">
        <w:rPr>
          <w:noProof/>
        </w:rPr>
        <w:t>;</w:t>
      </w:r>
    </w:p>
    <w:p w14:paraId="4D2FE780" w14:textId="77777777" w:rsidR="00835DF9" w:rsidRPr="001E2023" w:rsidRDefault="001E2023" w:rsidP="001E2023">
      <w:pPr>
        <w:pStyle w:val="Point2"/>
        <w:rPr>
          <w:noProof/>
        </w:rPr>
      </w:pPr>
      <w:r>
        <w:rPr>
          <w:noProof/>
        </w:rPr>
        <w:t>b)</w:t>
      </w:r>
      <w:r>
        <w:rPr>
          <w:noProof/>
        </w:rPr>
        <w:tab/>
      </w:r>
      <w:r w:rsidR="00835DF9" w:rsidRPr="001E2023">
        <w:rPr>
          <w:noProof/>
        </w:rPr>
        <w:t>písmeno c) sa nahrádza takto:</w:t>
      </w:r>
    </w:p>
    <w:p w14:paraId="41D1010D" w14:textId="77777777" w:rsidR="00835DF9" w:rsidRPr="001E2023" w:rsidRDefault="00835DF9" w:rsidP="00015138">
      <w:pPr>
        <w:pStyle w:val="Point3"/>
        <w:rPr>
          <w:noProof/>
          <w:spacing w:val="-4"/>
        </w:rPr>
      </w:pPr>
      <w:r w:rsidRPr="001E2023">
        <w:rPr>
          <w:noProof/>
        </w:rPr>
        <w:t>„c)</w:t>
      </w:r>
      <w:r w:rsidRPr="001E2023">
        <w:rPr>
          <w:noProof/>
        </w:rPr>
        <w:tab/>
      </w:r>
      <w:r w:rsidRPr="001E2023">
        <w:rPr>
          <w:noProof/>
          <w:spacing w:val="-4"/>
        </w:rPr>
        <w:t>na účely iných ustanovení tejto smernice než článku 8 ods. 1</w:t>
      </w:r>
      <w:r w:rsidR="001E2023" w:rsidRPr="001E2023">
        <w:rPr>
          <w:noProof/>
          <w:spacing w:val="-4"/>
        </w:rPr>
        <w:t xml:space="preserve"> a </w:t>
      </w:r>
      <w:r w:rsidRPr="001E2023">
        <w:rPr>
          <w:noProof/>
          <w:spacing w:val="-4"/>
        </w:rPr>
        <w:t>ods. 3a</w:t>
      </w:r>
      <w:r w:rsidR="001E2023" w:rsidRPr="001E2023">
        <w:rPr>
          <w:noProof/>
          <w:spacing w:val="-4"/>
        </w:rPr>
        <w:t xml:space="preserve"> a </w:t>
      </w:r>
      <w:r w:rsidRPr="001E2023">
        <w:rPr>
          <w:noProof/>
          <w:spacing w:val="-4"/>
        </w:rPr>
        <w:t>článkov 8a až 8ae systematické oznamovanie vopred určených informácií podľa prvého pododseku písm. a)</w:t>
      </w:r>
      <w:r w:rsidR="001E2023" w:rsidRPr="001E2023">
        <w:rPr>
          <w:noProof/>
          <w:spacing w:val="-4"/>
        </w:rPr>
        <w:t xml:space="preserve"> a </w:t>
      </w:r>
      <w:r w:rsidRPr="001E2023">
        <w:rPr>
          <w:noProof/>
          <w:spacing w:val="-4"/>
        </w:rPr>
        <w:t>b) tohto bodu.“</w:t>
      </w:r>
    </w:p>
    <w:p w14:paraId="0A222A9D" w14:textId="77777777" w:rsidR="00835DF9" w:rsidRPr="001E2023" w:rsidRDefault="001E2023" w:rsidP="001E2023">
      <w:pPr>
        <w:pStyle w:val="Point1"/>
        <w:rPr>
          <w:noProof/>
        </w:rPr>
      </w:pPr>
      <w:r>
        <w:rPr>
          <w:noProof/>
        </w:rPr>
        <w:t>b)</w:t>
      </w:r>
      <w:r>
        <w:rPr>
          <w:noProof/>
        </w:rPr>
        <w:tab/>
      </w:r>
      <w:r w:rsidR="00835DF9" w:rsidRPr="001E2023">
        <w:rPr>
          <w:noProof/>
        </w:rPr>
        <w:t>Druhý pododsek sa nahrádza takto:</w:t>
      </w:r>
    </w:p>
    <w:p w14:paraId="5BC9892C" w14:textId="77777777" w:rsidR="00835DF9" w:rsidRPr="001E2023" w:rsidRDefault="00835DF9" w:rsidP="005711FB">
      <w:pPr>
        <w:pStyle w:val="Text3"/>
        <w:rPr>
          <w:noProof/>
          <w:spacing w:val="-6"/>
        </w:rPr>
      </w:pPr>
      <w:r w:rsidRPr="001E2023">
        <w:rPr>
          <w:noProof/>
          <w:spacing w:val="-6"/>
        </w:rPr>
        <w:t>„V kontexte tohto článku, článku 8 ods. 3a, článku 8 ods. 7a, článku 21 ods. 2 tejto smernice</w:t>
      </w:r>
      <w:r w:rsidR="001E2023" w:rsidRPr="001E2023">
        <w:rPr>
          <w:noProof/>
          <w:spacing w:val="-6"/>
        </w:rPr>
        <w:t xml:space="preserve"> a </w:t>
      </w:r>
      <w:r w:rsidRPr="001E2023">
        <w:rPr>
          <w:noProof/>
          <w:spacing w:val="-6"/>
        </w:rPr>
        <w:t>prílohy IV</w:t>
      </w:r>
      <w:r w:rsidR="001E2023" w:rsidRPr="001E2023">
        <w:rPr>
          <w:noProof/>
          <w:spacing w:val="-6"/>
        </w:rPr>
        <w:t xml:space="preserve"> k </w:t>
      </w:r>
      <w:r w:rsidRPr="001E2023">
        <w:rPr>
          <w:noProof/>
          <w:spacing w:val="-6"/>
        </w:rPr>
        <w:t>tejto smernici majú príslušné pojmy význam podľa zodpovedajúceho vymedzenia pojmov uvedeného</w:t>
      </w:r>
      <w:r w:rsidR="001E2023" w:rsidRPr="001E2023">
        <w:rPr>
          <w:noProof/>
          <w:spacing w:val="-6"/>
        </w:rPr>
        <w:t xml:space="preserve"> v </w:t>
      </w:r>
      <w:r w:rsidRPr="001E2023">
        <w:rPr>
          <w:noProof/>
          <w:spacing w:val="-6"/>
        </w:rPr>
        <w:t>prílohe I</w:t>
      </w:r>
      <w:r w:rsidR="001E2023" w:rsidRPr="001E2023">
        <w:rPr>
          <w:noProof/>
          <w:spacing w:val="-6"/>
        </w:rPr>
        <w:t xml:space="preserve"> k </w:t>
      </w:r>
      <w:r w:rsidRPr="001E2023">
        <w:rPr>
          <w:noProof/>
          <w:spacing w:val="-6"/>
        </w:rPr>
        <w:t>tejto smernici.</w:t>
      </w:r>
      <w:r w:rsidR="001E2023" w:rsidRPr="001E2023">
        <w:rPr>
          <w:noProof/>
          <w:spacing w:val="-6"/>
        </w:rPr>
        <w:t xml:space="preserve"> V </w:t>
      </w:r>
      <w:r w:rsidRPr="001E2023">
        <w:rPr>
          <w:noProof/>
          <w:spacing w:val="-6"/>
        </w:rPr>
        <w:t>kontexte článku 21 ods. 5</w:t>
      </w:r>
      <w:r w:rsidR="001E2023" w:rsidRPr="001E2023">
        <w:rPr>
          <w:noProof/>
          <w:spacing w:val="-6"/>
        </w:rPr>
        <w:t xml:space="preserve"> a </w:t>
      </w:r>
      <w:r w:rsidRPr="001E2023">
        <w:rPr>
          <w:noProof/>
          <w:spacing w:val="-6"/>
        </w:rPr>
        <w:t>článku 25 ods. 3</w:t>
      </w:r>
      <w:r w:rsidR="001E2023" w:rsidRPr="001E2023">
        <w:rPr>
          <w:noProof/>
          <w:spacing w:val="-6"/>
        </w:rPr>
        <w:t xml:space="preserve"> a </w:t>
      </w:r>
      <w:r w:rsidRPr="001E2023">
        <w:rPr>
          <w:noProof/>
          <w:spacing w:val="-6"/>
        </w:rPr>
        <w:t>4 tejto smernice majú príslušné pojmy význam podľa zodpovedajúceho vymedzenia pojmov uvedeného</w:t>
      </w:r>
      <w:r w:rsidR="001E2023" w:rsidRPr="001E2023">
        <w:rPr>
          <w:noProof/>
          <w:spacing w:val="-6"/>
        </w:rPr>
        <w:t xml:space="preserve"> v </w:t>
      </w:r>
      <w:r w:rsidRPr="001E2023">
        <w:rPr>
          <w:noProof/>
          <w:spacing w:val="-6"/>
        </w:rPr>
        <w:t>prílohe I,</w:t>
      </w:r>
      <w:r w:rsidR="001E2023" w:rsidRPr="001E2023">
        <w:rPr>
          <w:noProof/>
          <w:spacing w:val="-6"/>
        </w:rPr>
        <w:t xml:space="preserve"> V </w:t>
      </w:r>
      <w:r w:rsidRPr="001E2023">
        <w:rPr>
          <w:noProof/>
          <w:spacing w:val="-6"/>
        </w:rPr>
        <w:t>alebo VI</w:t>
      </w:r>
      <w:r w:rsidR="001E2023" w:rsidRPr="001E2023">
        <w:rPr>
          <w:noProof/>
          <w:spacing w:val="-6"/>
        </w:rPr>
        <w:t xml:space="preserve"> k </w:t>
      </w:r>
      <w:r w:rsidRPr="001E2023">
        <w:rPr>
          <w:noProof/>
          <w:spacing w:val="-6"/>
        </w:rPr>
        <w:t>tejto smernici.</w:t>
      </w:r>
      <w:r w:rsidR="001E2023" w:rsidRPr="001E2023">
        <w:rPr>
          <w:noProof/>
          <w:spacing w:val="-6"/>
        </w:rPr>
        <w:t xml:space="preserve"> V </w:t>
      </w:r>
      <w:r w:rsidRPr="001E2023">
        <w:rPr>
          <w:noProof/>
          <w:spacing w:val="-6"/>
        </w:rPr>
        <w:t>kontexte článku 8aa tejto smernice</w:t>
      </w:r>
      <w:r w:rsidR="001E2023" w:rsidRPr="001E2023">
        <w:rPr>
          <w:noProof/>
          <w:spacing w:val="-6"/>
        </w:rPr>
        <w:t xml:space="preserve"> a </w:t>
      </w:r>
      <w:r w:rsidRPr="001E2023">
        <w:rPr>
          <w:noProof/>
          <w:spacing w:val="-6"/>
        </w:rPr>
        <w:t>prílohy III</w:t>
      </w:r>
      <w:r w:rsidR="001E2023" w:rsidRPr="001E2023">
        <w:rPr>
          <w:noProof/>
          <w:spacing w:val="-6"/>
        </w:rPr>
        <w:t xml:space="preserve"> k </w:t>
      </w:r>
      <w:r w:rsidRPr="001E2023">
        <w:rPr>
          <w:noProof/>
          <w:spacing w:val="-6"/>
        </w:rPr>
        <w:t>tejto smernici majú príslušné pojmy význam podľa zodpovedajúceho vymedzenia pojmov uvedeného</w:t>
      </w:r>
      <w:r w:rsidR="001E2023" w:rsidRPr="001E2023">
        <w:rPr>
          <w:noProof/>
          <w:spacing w:val="-6"/>
        </w:rPr>
        <w:t xml:space="preserve"> v </w:t>
      </w:r>
      <w:r w:rsidRPr="001E2023">
        <w:rPr>
          <w:noProof/>
          <w:spacing w:val="-6"/>
        </w:rPr>
        <w:t>prílohe III</w:t>
      </w:r>
      <w:r w:rsidR="001E2023" w:rsidRPr="001E2023">
        <w:rPr>
          <w:noProof/>
          <w:spacing w:val="-6"/>
        </w:rPr>
        <w:t xml:space="preserve"> k </w:t>
      </w:r>
      <w:r w:rsidRPr="001E2023">
        <w:rPr>
          <w:noProof/>
          <w:spacing w:val="-6"/>
        </w:rPr>
        <w:t>tejto smernici.</w:t>
      </w:r>
      <w:r w:rsidR="001E2023" w:rsidRPr="001E2023">
        <w:rPr>
          <w:noProof/>
          <w:spacing w:val="-6"/>
        </w:rPr>
        <w:t xml:space="preserve"> V </w:t>
      </w:r>
      <w:r w:rsidRPr="001E2023">
        <w:rPr>
          <w:noProof/>
          <w:spacing w:val="-6"/>
        </w:rPr>
        <w:t>kontexte článku 8ac tejto smernice</w:t>
      </w:r>
      <w:r w:rsidR="001E2023" w:rsidRPr="001E2023">
        <w:rPr>
          <w:noProof/>
          <w:spacing w:val="-6"/>
        </w:rPr>
        <w:t xml:space="preserve"> a </w:t>
      </w:r>
      <w:r w:rsidRPr="001E2023">
        <w:rPr>
          <w:noProof/>
          <w:spacing w:val="-6"/>
        </w:rPr>
        <w:t>prílohy</w:t>
      </w:r>
      <w:r w:rsidR="001E2023" w:rsidRPr="001E2023">
        <w:rPr>
          <w:noProof/>
          <w:spacing w:val="-6"/>
        </w:rPr>
        <w:t xml:space="preserve"> V k </w:t>
      </w:r>
      <w:r w:rsidRPr="001E2023">
        <w:rPr>
          <w:noProof/>
          <w:spacing w:val="-6"/>
        </w:rPr>
        <w:t>tejto smernici majú príslušné pojmy význam podľa zodpovedajúceho vymedzenia pojmov uvedeného</w:t>
      </w:r>
      <w:r w:rsidR="001E2023" w:rsidRPr="001E2023">
        <w:rPr>
          <w:noProof/>
          <w:spacing w:val="-6"/>
        </w:rPr>
        <w:t xml:space="preserve"> v </w:t>
      </w:r>
      <w:r w:rsidRPr="001E2023">
        <w:rPr>
          <w:noProof/>
          <w:spacing w:val="-6"/>
        </w:rPr>
        <w:t>prílohe</w:t>
      </w:r>
      <w:r w:rsidR="001E2023" w:rsidRPr="001E2023">
        <w:rPr>
          <w:noProof/>
          <w:spacing w:val="-6"/>
        </w:rPr>
        <w:t xml:space="preserve"> V k </w:t>
      </w:r>
      <w:r w:rsidRPr="001E2023">
        <w:rPr>
          <w:noProof/>
          <w:spacing w:val="-6"/>
        </w:rPr>
        <w:t>tejto smernici.</w:t>
      </w:r>
      <w:r w:rsidR="001E2023" w:rsidRPr="001E2023">
        <w:rPr>
          <w:noProof/>
          <w:spacing w:val="-6"/>
        </w:rPr>
        <w:t xml:space="preserve"> V </w:t>
      </w:r>
      <w:r w:rsidRPr="001E2023">
        <w:rPr>
          <w:noProof/>
          <w:spacing w:val="-6"/>
        </w:rPr>
        <w:t>kontexte článku 8ad</w:t>
      </w:r>
      <w:r w:rsidR="001E2023" w:rsidRPr="001E2023">
        <w:rPr>
          <w:noProof/>
          <w:spacing w:val="-6"/>
        </w:rPr>
        <w:t xml:space="preserve"> a </w:t>
      </w:r>
      <w:r w:rsidRPr="001E2023">
        <w:rPr>
          <w:noProof/>
          <w:spacing w:val="-6"/>
        </w:rPr>
        <w:t>prílohy VI</w:t>
      </w:r>
      <w:r w:rsidR="001E2023" w:rsidRPr="001E2023">
        <w:rPr>
          <w:noProof/>
          <w:spacing w:val="-6"/>
        </w:rPr>
        <w:t xml:space="preserve"> k </w:t>
      </w:r>
      <w:r w:rsidRPr="001E2023">
        <w:rPr>
          <w:noProof/>
          <w:spacing w:val="-6"/>
        </w:rPr>
        <w:t>tejto smernici majú príslušné pojmy význam podľa zodpovedajúceho vymedzenia pojmov uvedeného</w:t>
      </w:r>
      <w:r w:rsidR="001E2023" w:rsidRPr="001E2023">
        <w:rPr>
          <w:noProof/>
          <w:spacing w:val="-6"/>
        </w:rPr>
        <w:t xml:space="preserve"> v </w:t>
      </w:r>
      <w:r w:rsidRPr="001E2023">
        <w:rPr>
          <w:noProof/>
          <w:spacing w:val="-6"/>
        </w:rPr>
        <w:t>prílohe VI</w:t>
      </w:r>
      <w:r w:rsidR="001E2023" w:rsidRPr="001E2023">
        <w:rPr>
          <w:noProof/>
          <w:spacing w:val="-6"/>
        </w:rPr>
        <w:t xml:space="preserve"> k </w:t>
      </w:r>
      <w:r w:rsidRPr="001E2023">
        <w:rPr>
          <w:noProof/>
          <w:spacing w:val="-6"/>
        </w:rPr>
        <w:t>tejto smernici.</w:t>
      </w:r>
      <w:r w:rsidR="001E2023" w:rsidRPr="001E2023">
        <w:rPr>
          <w:noProof/>
          <w:spacing w:val="-6"/>
        </w:rPr>
        <w:t xml:space="preserve"> V </w:t>
      </w:r>
      <w:r w:rsidRPr="001E2023">
        <w:rPr>
          <w:noProof/>
          <w:spacing w:val="-6"/>
        </w:rPr>
        <w:t>kontexte článku 8ae, článku 9a tejto smernice</w:t>
      </w:r>
      <w:r w:rsidR="001E2023" w:rsidRPr="001E2023">
        <w:rPr>
          <w:noProof/>
          <w:spacing w:val="-6"/>
        </w:rPr>
        <w:t xml:space="preserve"> a </w:t>
      </w:r>
      <w:r w:rsidRPr="001E2023">
        <w:rPr>
          <w:noProof/>
          <w:spacing w:val="-6"/>
        </w:rPr>
        <w:t>prílohy VII</w:t>
      </w:r>
      <w:r w:rsidR="001E2023" w:rsidRPr="001E2023">
        <w:rPr>
          <w:noProof/>
          <w:spacing w:val="-6"/>
        </w:rPr>
        <w:t xml:space="preserve"> k </w:t>
      </w:r>
      <w:r w:rsidRPr="001E2023">
        <w:rPr>
          <w:noProof/>
          <w:spacing w:val="-6"/>
        </w:rPr>
        <w:t>tejto smernici má každý pojem rovnaký význam, ako je vymedzený</w:t>
      </w:r>
      <w:r w:rsidR="001E2023" w:rsidRPr="001E2023">
        <w:rPr>
          <w:noProof/>
          <w:spacing w:val="-6"/>
        </w:rPr>
        <w:t xml:space="preserve"> v </w:t>
      </w:r>
      <w:r w:rsidRPr="001E2023">
        <w:rPr>
          <w:noProof/>
          <w:spacing w:val="-6"/>
        </w:rPr>
        <w:t>článku 3, článku 9 ods. 2 písm. a), článku 16 ods. 4, 6, 8</w:t>
      </w:r>
      <w:r w:rsidR="001E2023" w:rsidRPr="001E2023">
        <w:rPr>
          <w:noProof/>
          <w:spacing w:val="-6"/>
        </w:rPr>
        <w:t xml:space="preserve"> a </w:t>
      </w:r>
      <w:r w:rsidRPr="001E2023">
        <w:rPr>
          <w:noProof/>
          <w:spacing w:val="-6"/>
        </w:rPr>
        <w:t>11, článku 17 ods. 1, článku 21 ods. 5, článku 22 ods. 1, článku 24 ods. 4</w:t>
      </w:r>
      <w:r w:rsidR="001E2023" w:rsidRPr="001E2023">
        <w:rPr>
          <w:noProof/>
          <w:spacing w:val="-6"/>
        </w:rPr>
        <w:t xml:space="preserve"> a </w:t>
      </w:r>
      <w:r w:rsidRPr="001E2023">
        <w:rPr>
          <w:noProof/>
          <w:spacing w:val="-6"/>
        </w:rPr>
        <w:t>6, článku 26 ods. 2, článku 27 ods. 3, 4</w:t>
      </w:r>
      <w:r w:rsidR="001E2023" w:rsidRPr="001E2023">
        <w:rPr>
          <w:noProof/>
          <w:spacing w:val="-6"/>
        </w:rPr>
        <w:t xml:space="preserve"> a </w:t>
      </w:r>
      <w:r w:rsidRPr="001E2023">
        <w:rPr>
          <w:noProof/>
          <w:spacing w:val="-6"/>
        </w:rPr>
        <w:t>5, článku 28 ods. 1, článku 30 ods. 2, článku 31 ods. 1, článku 32, článku 33 ods. 1, článku 35 ods. 1, článku 36 ods. 1, článku 37 ods. 1, článku 39 ods. 1, článku 42 ods. 1, článku 44 ods. 1, článku 47 ods. 1</w:t>
      </w:r>
      <w:r w:rsidR="001E2023" w:rsidRPr="001E2023">
        <w:rPr>
          <w:noProof/>
          <w:spacing w:val="-6"/>
        </w:rPr>
        <w:t xml:space="preserve"> a </w:t>
      </w:r>
      <w:r w:rsidRPr="001E2023">
        <w:rPr>
          <w:noProof/>
          <w:spacing w:val="-6"/>
        </w:rPr>
        <w:t>článku 49 ods. 3 smernice Rady (EÚ) 2022/2523*. Okrem toho majú príslušné pojmy význam vymedzený</w:t>
      </w:r>
      <w:r w:rsidR="001E2023" w:rsidRPr="001E2023">
        <w:rPr>
          <w:noProof/>
          <w:spacing w:val="-6"/>
        </w:rPr>
        <w:t xml:space="preserve"> v </w:t>
      </w:r>
      <w:r w:rsidRPr="001E2023">
        <w:rPr>
          <w:noProof/>
          <w:spacing w:val="-6"/>
        </w:rPr>
        <w:t>oddiele I prílohy VII</w:t>
      </w:r>
      <w:r w:rsidR="001E2023" w:rsidRPr="001E2023">
        <w:rPr>
          <w:noProof/>
          <w:spacing w:val="-6"/>
        </w:rPr>
        <w:t xml:space="preserve"> k </w:t>
      </w:r>
      <w:r w:rsidRPr="001E2023">
        <w:rPr>
          <w:noProof/>
          <w:spacing w:val="-6"/>
        </w:rPr>
        <w:t>tejto smernici.</w:t>
      </w:r>
    </w:p>
    <w:p w14:paraId="5DA04967" w14:textId="77777777" w:rsidR="00035014" w:rsidRPr="001E2023" w:rsidRDefault="00035014" w:rsidP="00F77DFD">
      <w:pPr>
        <w:rPr>
          <w:noProof/>
        </w:rPr>
      </w:pPr>
      <w:r w:rsidRPr="001E2023">
        <w:rPr>
          <w:noProof/>
        </w:rPr>
        <w:t>* Smernica Rady (EÚ) 2022/2523</w:t>
      </w:r>
      <w:r w:rsidR="001E2023">
        <w:rPr>
          <w:noProof/>
        </w:rPr>
        <w:t xml:space="preserve"> z </w:t>
      </w:r>
      <w:r w:rsidRPr="001E2023">
        <w:rPr>
          <w:noProof/>
        </w:rPr>
        <w:t>15</w:t>
      </w:r>
      <w:r w:rsidR="001E2023">
        <w:rPr>
          <w:noProof/>
        </w:rPr>
        <w:t>. decembra</w:t>
      </w:r>
      <w:r w:rsidRPr="001E2023">
        <w:rPr>
          <w:noProof/>
        </w:rPr>
        <w:t xml:space="preserve"> 2022</w:t>
      </w:r>
      <w:r w:rsidR="001E2023">
        <w:rPr>
          <w:noProof/>
        </w:rPr>
        <w:t xml:space="preserve"> o </w:t>
      </w:r>
      <w:r w:rsidRPr="001E2023">
        <w:rPr>
          <w:noProof/>
        </w:rPr>
        <w:t>zabezpečení globálnej minimálnej úrovne zdanenia nadnárodných skupín podnikov</w:t>
      </w:r>
      <w:r w:rsidR="001E2023">
        <w:rPr>
          <w:noProof/>
        </w:rPr>
        <w:t xml:space="preserve"> a </w:t>
      </w:r>
      <w:r w:rsidRPr="001E2023">
        <w:rPr>
          <w:noProof/>
        </w:rPr>
        <w:t>veľkých vnútroštátnych skupín</w:t>
      </w:r>
      <w:r w:rsidR="001E2023">
        <w:rPr>
          <w:noProof/>
        </w:rPr>
        <w:t xml:space="preserve"> v </w:t>
      </w:r>
      <w:r w:rsidRPr="001E2023">
        <w:rPr>
          <w:noProof/>
        </w:rPr>
        <w:t>Únii (Ú. v. EÚ L 328, 22.12.2022, s. 1, ELI: http://data.europa.eu/eli/dir/2022/2523/oj).“</w:t>
      </w:r>
    </w:p>
    <w:p w14:paraId="692CEE40" w14:textId="77777777" w:rsidR="00B810DE" w:rsidRPr="001E2023" w:rsidRDefault="001E2023" w:rsidP="001E2023">
      <w:pPr>
        <w:pStyle w:val="Point0"/>
        <w:rPr>
          <w:noProof/>
        </w:rPr>
      </w:pPr>
      <w:r>
        <w:rPr>
          <w:noProof/>
        </w:rPr>
        <w:t>2.</w:t>
      </w:r>
      <w:r>
        <w:rPr>
          <w:noProof/>
        </w:rPr>
        <w:tab/>
      </w:r>
      <w:r w:rsidR="000F65CE" w:rsidRPr="001E2023">
        <w:rPr>
          <w:noProof/>
        </w:rPr>
        <w:t>Dopĺňa sa tento článok:</w:t>
      </w:r>
    </w:p>
    <w:p w14:paraId="7BBCF46C" w14:textId="77777777" w:rsidR="008430B8" w:rsidRPr="001E2023" w:rsidRDefault="008430B8" w:rsidP="00015138">
      <w:pPr>
        <w:pStyle w:val="Text1"/>
        <w:jc w:val="left"/>
        <w:rPr>
          <w:i/>
          <w:noProof/>
          <w:highlight w:val="yellow"/>
        </w:rPr>
      </w:pPr>
      <w:r w:rsidRPr="001E2023">
        <w:rPr>
          <w:i/>
          <w:iCs/>
          <w:noProof/>
        </w:rPr>
        <w:t>„Článok 8ae</w:t>
      </w:r>
      <w:r w:rsidRPr="001E2023">
        <w:rPr>
          <w:noProof/>
        </w:rPr>
        <w:br/>
      </w:r>
      <w:r w:rsidRPr="001E2023">
        <w:rPr>
          <w:i/>
          <w:noProof/>
        </w:rPr>
        <w:t>Výmena informácií</w:t>
      </w:r>
      <w:r w:rsidR="001E2023">
        <w:rPr>
          <w:i/>
          <w:noProof/>
        </w:rPr>
        <w:t xml:space="preserve"> v </w:t>
      </w:r>
      <w:r w:rsidRPr="001E2023">
        <w:rPr>
          <w:i/>
          <w:noProof/>
        </w:rPr>
        <w:t>súvislosti</w:t>
      </w:r>
      <w:r w:rsidR="001E2023">
        <w:rPr>
          <w:i/>
          <w:noProof/>
        </w:rPr>
        <w:t xml:space="preserve"> s </w:t>
      </w:r>
      <w:r w:rsidRPr="001E2023">
        <w:rPr>
          <w:i/>
          <w:noProof/>
        </w:rPr>
        <w:t>oznámeniami</w:t>
      </w:r>
      <w:r w:rsidR="001E2023">
        <w:rPr>
          <w:i/>
          <w:noProof/>
        </w:rPr>
        <w:t xml:space="preserve"> s </w:t>
      </w:r>
      <w:r w:rsidRPr="001E2023">
        <w:rPr>
          <w:i/>
          <w:noProof/>
        </w:rPr>
        <w:t>informáciami na určenie dorovnávacej dane podľa článku 44 smernice Rady (EÚ) 2022/2523</w:t>
      </w:r>
    </w:p>
    <w:p w14:paraId="1AF9D803" w14:textId="77777777" w:rsidR="004D195B" w:rsidRPr="001E2023" w:rsidRDefault="00C149E3" w:rsidP="00C149E3">
      <w:pPr>
        <w:pStyle w:val="ManualNumPar1"/>
        <w:rPr>
          <w:noProof/>
        </w:rPr>
      </w:pPr>
      <w:bookmarkStart w:id="0" w:name="_Hlk179974330"/>
      <w:r w:rsidRPr="00C149E3">
        <w:rPr>
          <w:noProof/>
        </w:rPr>
        <w:lastRenderedPageBreak/>
        <w:t>1.</w:t>
      </w:r>
      <w:r w:rsidRPr="00C149E3">
        <w:rPr>
          <w:noProof/>
        </w:rPr>
        <w:tab/>
      </w:r>
      <w:r w:rsidR="001241EC" w:rsidRPr="001E2023">
        <w:rPr>
          <w:noProof/>
        </w:rPr>
        <w:t>Každý členský štát prijme opatrenia potrebné na to, aby od hlavného materského subjektu alebo určeného podávajúceho subjektu, ako sa uvádza</w:t>
      </w:r>
      <w:r w:rsidR="001E2023" w:rsidRPr="001E2023">
        <w:rPr>
          <w:noProof/>
        </w:rPr>
        <w:t xml:space="preserve"> v </w:t>
      </w:r>
      <w:r w:rsidR="001241EC" w:rsidRPr="001E2023">
        <w:rPr>
          <w:noProof/>
        </w:rPr>
        <w:t>článku 44 ods. 3 písm. a)</w:t>
      </w:r>
      <w:r w:rsidR="001E2023" w:rsidRPr="001E2023">
        <w:rPr>
          <w:noProof/>
        </w:rPr>
        <w:t xml:space="preserve"> a </w:t>
      </w:r>
      <w:r w:rsidR="001241EC" w:rsidRPr="001E2023">
        <w:rPr>
          <w:noProof/>
        </w:rPr>
        <w:t>b) smernice Rady (EÚ) 2022/2523, skupiny nadnárodných podnikov, ktorá sa nachádza na jeho území</w:t>
      </w:r>
      <w:r w:rsidR="001E2023" w:rsidRPr="001E2023">
        <w:rPr>
          <w:noProof/>
        </w:rPr>
        <w:t xml:space="preserve"> v </w:t>
      </w:r>
      <w:r w:rsidR="001241EC" w:rsidRPr="001E2023">
        <w:rPr>
          <w:noProof/>
        </w:rPr>
        <w:t>súlade</w:t>
      </w:r>
      <w:r w:rsidR="001E2023" w:rsidRPr="001E2023">
        <w:rPr>
          <w:noProof/>
        </w:rPr>
        <w:t xml:space="preserve"> s </w:t>
      </w:r>
      <w:r w:rsidR="001241EC" w:rsidRPr="001E2023">
        <w:rPr>
          <w:noProof/>
        </w:rPr>
        <w:t>článkom 4 smernice Rady (EÚ) 2022/2523, mohol vyžadovať podanie oznámenia</w:t>
      </w:r>
      <w:r w:rsidR="001E2023" w:rsidRPr="001E2023">
        <w:rPr>
          <w:noProof/>
        </w:rPr>
        <w:t xml:space="preserve"> s </w:t>
      </w:r>
      <w:r w:rsidR="001241EC" w:rsidRPr="001E2023">
        <w:rPr>
          <w:noProof/>
        </w:rPr>
        <w:t>informáciami na určenie dorovnávacej dane</w:t>
      </w:r>
      <w:r w:rsidR="001E2023" w:rsidRPr="001E2023">
        <w:rPr>
          <w:noProof/>
        </w:rPr>
        <w:t xml:space="preserve"> s </w:t>
      </w:r>
      <w:r w:rsidR="001241EC" w:rsidRPr="001E2023">
        <w:rPr>
          <w:noProof/>
        </w:rPr>
        <w:t>použitím štandardného vzoru uvedeného</w:t>
      </w:r>
      <w:r w:rsidR="001E2023" w:rsidRPr="001E2023">
        <w:rPr>
          <w:noProof/>
        </w:rPr>
        <w:t xml:space="preserve"> v </w:t>
      </w:r>
      <w:r w:rsidR="001241EC" w:rsidRPr="001E2023">
        <w:rPr>
          <w:noProof/>
        </w:rPr>
        <w:t>oddiele III prílohy VII</w:t>
      </w:r>
      <w:r w:rsidR="001E2023" w:rsidRPr="001E2023">
        <w:rPr>
          <w:noProof/>
        </w:rPr>
        <w:t xml:space="preserve"> k </w:t>
      </w:r>
      <w:r w:rsidR="001241EC" w:rsidRPr="001E2023">
        <w:rPr>
          <w:noProof/>
        </w:rPr>
        <w:t>tejto smernici</w:t>
      </w:r>
      <w:r w:rsidR="001E2023" w:rsidRPr="001E2023">
        <w:rPr>
          <w:noProof/>
        </w:rPr>
        <w:t xml:space="preserve"> a v </w:t>
      </w:r>
      <w:r w:rsidR="001241EC" w:rsidRPr="001E2023">
        <w:rPr>
          <w:noProof/>
        </w:rPr>
        <w:t>lehotách stanovených</w:t>
      </w:r>
      <w:r w:rsidR="001E2023" w:rsidRPr="001E2023">
        <w:rPr>
          <w:noProof/>
        </w:rPr>
        <w:t xml:space="preserve"> v </w:t>
      </w:r>
      <w:r w:rsidR="001241EC" w:rsidRPr="001E2023">
        <w:rPr>
          <w:noProof/>
        </w:rPr>
        <w:t>článku 44 ods. 7</w:t>
      </w:r>
      <w:r w:rsidR="001E2023" w:rsidRPr="001E2023">
        <w:rPr>
          <w:noProof/>
        </w:rPr>
        <w:t xml:space="preserve"> a </w:t>
      </w:r>
      <w:r w:rsidR="001241EC" w:rsidRPr="001E2023">
        <w:rPr>
          <w:noProof/>
        </w:rPr>
        <w:t>článku 51 smernice Rady (EÚ) 2022/2523</w:t>
      </w:r>
      <w:bookmarkEnd w:id="0"/>
      <w:r w:rsidR="001241EC" w:rsidRPr="001E2023">
        <w:rPr>
          <w:noProof/>
        </w:rPr>
        <w:t>.</w:t>
      </w:r>
    </w:p>
    <w:p w14:paraId="7DE09978" w14:textId="77777777" w:rsidR="008430B8" w:rsidRPr="001E2023" w:rsidRDefault="00C149E3" w:rsidP="00C149E3">
      <w:pPr>
        <w:pStyle w:val="ManualNumPar1"/>
        <w:rPr>
          <w:noProof/>
        </w:rPr>
      </w:pPr>
      <w:r w:rsidRPr="00C149E3">
        <w:rPr>
          <w:noProof/>
        </w:rPr>
        <w:t>2.</w:t>
      </w:r>
      <w:r w:rsidRPr="00C149E3">
        <w:rPr>
          <w:noProof/>
        </w:rPr>
        <w:tab/>
      </w:r>
      <w:r w:rsidR="00D765B8" w:rsidRPr="001E2023">
        <w:rPr>
          <w:noProof/>
        </w:rPr>
        <w:t>Príslušný orgán členského štátu, ktorý prijal oznámenie</w:t>
      </w:r>
      <w:r w:rsidR="001E2023">
        <w:rPr>
          <w:noProof/>
        </w:rPr>
        <w:t xml:space="preserve"> s </w:t>
      </w:r>
      <w:r w:rsidR="00D765B8" w:rsidRPr="001E2023">
        <w:rPr>
          <w:noProof/>
        </w:rPr>
        <w:t>informáciami na určenie dorovnávacej dane podľa odseku 1, oznámi prostredníctvom automatickej výmeny</w:t>
      </w:r>
      <w:r w:rsidR="001E2023">
        <w:rPr>
          <w:noProof/>
        </w:rPr>
        <w:t xml:space="preserve"> a v </w:t>
      </w:r>
      <w:r w:rsidR="00D765B8" w:rsidRPr="001E2023">
        <w:rPr>
          <w:noProof/>
        </w:rPr>
        <w:t>súlade</w:t>
      </w:r>
      <w:r w:rsidR="001E2023">
        <w:rPr>
          <w:noProof/>
        </w:rPr>
        <w:t xml:space="preserve"> s </w:t>
      </w:r>
      <w:r w:rsidR="00D765B8" w:rsidRPr="001E2023">
        <w:rPr>
          <w:noProof/>
        </w:rPr>
        <w:t>týmto prístupom šírenia:</w:t>
      </w:r>
    </w:p>
    <w:p w14:paraId="2C6C7B25" w14:textId="77777777" w:rsidR="00C93274" w:rsidRPr="001E2023" w:rsidRDefault="001E2023" w:rsidP="001E2023">
      <w:pPr>
        <w:pStyle w:val="Point2"/>
        <w:rPr>
          <w:noProof/>
        </w:rPr>
      </w:pPr>
      <w:r>
        <w:rPr>
          <w:noProof/>
        </w:rPr>
        <w:t>a)</w:t>
      </w:r>
      <w:r>
        <w:rPr>
          <w:noProof/>
        </w:rPr>
        <w:tab/>
      </w:r>
      <w:r w:rsidR="00BF52A1" w:rsidRPr="001E2023">
        <w:rPr>
          <w:noProof/>
        </w:rPr>
        <w:t>všeobecný oddiel oznámenia</w:t>
      </w:r>
      <w:r>
        <w:rPr>
          <w:noProof/>
        </w:rPr>
        <w:t xml:space="preserve"> s </w:t>
      </w:r>
      <w:r w:rsidR="00BF52A1" w:rsidRPr="001E2023">
        <w:rPr>
          <w:noProof/>
        </w:rPr>
        <w:t>informáciami na určenie dorovnávacej dane vykonávajúcemu členskému štátu,</w:t>
      </w:r>
      <w:r>
        <w:rPr>
          <w:noProof/>
        </w:rPr>
        <w:t xml:space="preserve"> v </w:t>
      </w:r>
      <w:r w:rsidR="00BF52A1" w:rsidRPr="001E2023">
        <w:rPr>
          <w:noProof/>
        </w:rPr>
        <w:t>ktorom sa nachádza hlavný materský subjekt alebo základné subjekty nadnárodného podniku;</w:t>
      </w:r>
    </w:p>
    <w:p w14:paraId="58BCF94E" w14:textId="77777777" w:rsidR="001241EC" w:rsidRPr="001E2023" w:rsidRDefault="001E2023" w:rsidP="001E2023">
      <w:pPr>
        <w:pStyle w:val="Point2"/>
        <w:rPr>
          <w:noProof/>
        </w:rPr>
      </w:pPr>
      <w:r>
        <w:rPr>
          <w:noProof/>
        </w:rPr>
        <w:t>b)</w:t>
      </w:r>
      <w:r>
        <w:rPr>
          <w:noProof/>
        </w:rPr>
        <w:tab/>
      </w:r>
      <w:r w:rsidR="005C5B78" w:rsidRPr="001E2023">
        <w:rPr>
          <w:noProof/>
        </w:rPr>
        <w:t>všeobecný oddiel oznámenia</w:t>
      </w:r>
      <w:r>
        <w:rPr>
          <w:noProof/>
        </w:rPr>
        <w:t xml:space="preserve"> s </w:t>
      </w:r>
      <w:r w:rsidR="005C5B78" w:rsidRPr="001E2023">
        <w:rPr>
          <w:noProof/>
        </w:rPr>
        <w:t>informáciami na určenie dorovnávacej dane</w:t>
      </w:r>
      <w:r>
        <w:rPr>
          <w:noProof/>
        </w:rPr>
        <w:t xml:space="preserve"> s </w:t>
      </w:r>
      <w:r w:rsidR="005C5B78" w:rsidRPr="001E2023">
        <w:rPr>
          <w:noProof/>
        </w:rPr>
        <w:t>výnimkou všeobecného zhrnutia</w:t>
      </w:r>
      <w:r>
        <w:rPr>
          <w:noProof/>
        </w:rPr>
        <w:t xml:space="preserve"> v </w:t>
      </w:r>
      <w:r w:rsidR="005C5B78" w:rsidRPr="001E2023">
        <w:rPr>
          <w:noProof/>
        </w:rPr>
        <w:t>oddiele 1.4 tohto oznámenia členským štátom uplatňujúcim len kvalifikovanú vnútroštátnu dorovnávaciu daň:</w:t>
      </w:r>
    </w:p>
    <w:p w14:paraId="64B50E62" w14:textId="77777777" w:rsidR="001E2023" w:rsidRPr="001E2023" w:rsidRDefault="001E2023" w:rsidP="001E2023">
      <w:pPr>
        <w:pStyle w:val="Point3"/>
        <w:rPr>
          <w:noProof/>
        </w:rPr>
      </w:pPr>
      <w:r>
        <w:rPr>
          <w:noProof/>
        </w:rPr>
        <w:t>i)</w:t>
      </w:r>
      <w:r>
        <w:rPr>
          <w:noProof/>
        </w:rPr>
        <w:tab/>
      </w:r>
      <w:r w:rsidR="00421FC9" w:rsidRPr="001E2023">
        <w:rPr>
          <w:noProof/>
        </w:rPr>
        <w:t>v ktorých sa nachádzajú základné subjekty nadnárodného podniku</w:t>
      </w:r>
      <w:r w:rsidRPr="001E2023">
        <w:rPr>
          <w:noProof/>
        </w:rPr>
        <w:t>;</w:t>
      </w:r>
    </w:p>
    <w:p w14:paraId="10F5B8C5" w14:textId="77777777" w:rsidR="001E2023" w:rsidRPr="001E2023" w:rsidRDefault="001E2023" w:rsidP="001E2023">
      <w:pPr>
        <w:pStyle w:val="Point3"/>
        <w:rPr>
          <w:noProof/>
        </w:rPr>
      </w:pPr>
      <w:r>
        <w:rPr>
          <w:noProof/>
        </w:rPr>
        <w:t>ii)</w:t>
      </w:r>
      <w:r>
        <w:rPr>
          <w:noProof/>
        </w:rPr>
        <w:tab/>
      </w:r>
      <w:r w:rsidR="00F25949" w:rsidRPr="001E2023">
        <w:rPr>
          <w:noProof/>
        </w:rPr>
        <w:t>v ktorých sa nachádza spoločný podnik alebo člen skupiny spoločného podniku nadnárodného podniku, ak sa na spoločné podniky</w:t>
      </w:r>
      <w:r>
        <w:rPr>
          <w:noProof/>
        </w:rPr>
        <w:t xml:space="preserve"> v </w:t>
      </w:r>
      <w:r w:rsidR="00F25949" w:rsidRPr="001E2023">
        <w:rPr>
          <w:noProof/>
        </w:rPr>
        <w:t>danej jurisdikcii vzťahuje kvalifikovaná vnútroštátna dorovnávacia daň</w:t>
      </w:r>
      <w:r w:rsidRPr="001E2023">
        <w:rPr>
          <w:noProof/>
        </w:rPr>
        <w:t>;</w:t>
      </w:r>
    </w:p>
    <w:p w14:paraId="3DBE1803" w14:textId="77777777" w:rsidR="001E2023" w:rsidRPr="001E2023" w:rsidRDefault="001E2023" w:rsidP="001E2023">
      <w:pPr>
        <w:pStyle w:val="Point3"/>
        <w:rPr>
          <w:noProof/>
        </w:rPr>
      </w:pPr>
      <w:r>
        <w:rPr>
          <w:noProof/>
        </w:rPr>
        <w:t>iii)</w:t>
      </w:r>
      <w:r>
        <w:rPr>
          <w:noProof/>
        </w:rPr>
        <w:tab/>
      </w:r>
      <w:r w:rsidR="00F25949" w:rsidRPr="001E2023">
        <w:rPr>
          <w:noProof/>
        </w:rPr>
        <w:t>v situáciách, keď sa kvalifikovaná vnútroštátna dorovnávacia daň ukladá základnému subjektu bez štátnej príslušnosti nadnárodného podniku</w:t>
      </w:r>
      <w:r>
        <w:rPr>
          <w:noProof/>
        </w:rPr>
        <w:t xml:space="preserve"> v </w:t>
      </w:r>
      <w:r w:rsidR="00F25949" w:rsidRPr="001E2023">
        <w:rPr>
          <w:noProof/>
        </w:rPr>
        <w:t>jurisdikcii</w:t>
      </w:r>
      <w:r w:rsidRPr="001E2023">
        <w:rPr>
          <w:noProof/>
        </w:rPr>
        <w:t>;</w:t>
      </w:r>
    </w:p>
    <w:p w14:paraId="40ABF8A4" w14:textId="77777777" w:rsidR="001E2023" w:rsidRPr="001E2023" w:rsidRDefault="001E2023" w:rsidP="001E2023">
      <w:pPr>
        <w:pStyle w:val="Point2"/>
        <w:rPr>
          <w:noProof/>
        </w:rPr>
      </w:pPr>
      <w:r>
        <w:rPr>
          <w:noProof/>
        </w:rPr>
        <w:t>c)</w:t>
      </w:r>
      <w:r>
        <w:rPr>
          <w:noProof/>
        </w:rPr>
        <w:tab/>
      </w:r>
      <w:r w:rsidR="00B157FB" w:rsidRPr="001E2023">
        <w:rPr>
          <w:noProof/>
        </w:rPr>
        <w:t>jeden alebo viacero jurisdikčných oddielov oznámenia</w:t>
      </w:r>
      <w:r>
        <w:rPr>
          <w:noProof/>
        </w:rPr>
        <w:t xml:space="preserve"> s </w:t>
      </w:r>
      <w:r w:rsidR="00B157FB" w:rsidRPr="001E2023">
        <w:rPr>
          <w:noProof/>
        </w:rPr>
        <w:t>informáciami na určenie dorovnávacej dane členským štátom, ktoré majú práva zdaňovať podľa smernice Rady (EÚ) 2022/2523, pokiaľ ide</w:t>
      </w:r>
      <w:r>
        <w:rPr>
          <w:noProof/>
        </w:rPr>
        <w:t xml:space="preserve"> o </w:t>
      </w:r>
      <w:r w:rsidR="00B157FB" w:rsidRPr="001E2023">
        <w:rPr>
          <w:noProof/>
        </w:rPr>
        <w:t>členské štáty, ktorých sa tieto jurisdikčné oddiely týkajú</w:t>
      </w:r>
      <w:r w:rsidRPr="001E2023">
        <w:rPr>
          <w:noProof/>
        </w:rPr>
        <w:t>.</w:t>
      </w:r>
    </w:p>
    <w:p w14:paraId="206E8558" w14:textId="77777777" w:rsidR="00B52D54" w:rsidRPr="001E2023" w:rsidRDefault="004F023A" w:rsidP="009D3A4A">
      <w:pPr>
        <w:pStyle w:val="Text3"/>
        <w:rPr>
          <w:noProof/>
          <w:spacing w:val="-4"/>
        </w:rPr>
      </w:pPr>
      <w:r w:rsidRPr="001E2023">
        <w:rPr>
          <w:noProof/>
          <w:spacing w:val="-4"/>
        </w:rPr>
        <w:t>Bez ohľadu na prvý pododsek sa jurisdikciám uplatňujúcim pravidlo pre nedostatočne zdanené zisky</w:t>
      </w:r>
      <w:r w:rsidR="001E2023" w:rsidRPr="001E2023">
        <w:rPr>
          <w:noProof/>
          <w:spacing w:val="-4"/>
        </w:rPr>
        <w:t xml:space="preserve"> s </w:t>
      </w:r>
      <w:r w:rsidRPr="001E2023">
        <w:rPr>
          <w:noProof/>
          <w:spacing w:val="-4"/>
        </w:rPr>
        <w:t>nulovým percentuálnym podielom podľa pravidla pre nedostatočne zdanené zisky poskytne len tá časť oznámenia</w:t>
      </w:r>
      <w:r w:rsidR="001E2023" w:rsidRPr="001E2023">
        <w:rPr>
          <w:noProof/>
          <w:spacing w:val="-4"/>
        </w:rPr>
        <w:t xml:space="preserve"> s </w:t>
      </w:r>
      <w:r w:rsidRPr="001E2023">
        <w:rPr>
          <w:noProof/>
          <w:spacing w:val="-4"/>
        </w:rPr>
        <w:t>informáciami na určenie dorovnávacej dane, ktorá obsahuje informácie</w:t>
      </w:r>
      <w:r w:rsidR="001E2023" w:rsidRPr="001E2023">
        <w:rPr>
          <w:noProof/>
          <w:spacing w:val="-4"/>
        </w:rPr>
        <w:t xml:space="preserve"> o </w:t>
      </w:r>
      <w:r w:rsidRPr="001E2023">
        <w:rPr>
          <w:noProof/>
          <w:spacing w:val="-4"/>
        </w:rPr>
        <w:t>priradení dorovnávacej dane podľa pravidla pre nedostatočne zdanené zisky vo vzťahu</w:t>
      </w:r>
      <w:r w:rsidR="001E2023" w:rsidRPr="001E2023">
        <w:rPr>
          <w:noProof/>
          <w:spacing w:val="-4"/>
        </w:rPr>
        <w:t xml:space="preserve"> k </w:t>
      </w:r>
      <w:r w:rsidRPr="001E2023">
        <w:rPr>
          <w:noProof/>
          <w:spacing w:val="-4"/>
        </w:rPr>
        <w:t>tejto jurisdikcii, pričom tieto informácie sú</w:t>
      </w:r>
      <w:r w:rsidR="001E2023" w:rsidRPr="001E2023">
        <w:rPr>
          <w:noProof/>
          <w:spacing w:val="-4"/>
        </w:rPr>
        <w:t xml:space="preserve"> v </w:t>
      </w:r>
      <w:r w:rsidRPr="001E2023">
        <w:rPr>
          <w:noProof/>
          <w:spacing w:val="-4"/>
        </w:rPr>
        <w:t>súlade</w:t>
      </w:r>
      <w:r w:rsidR="001E2023" w:rsidRPr="001E2023">
        <w:rPr>
          <w:noProof/>
          <w:spacing w:val="-4"/>
        </w:rPr>
        <w:t xml:space="preserve"> s </w:t>
      </w:r>
      <w:r w:rsidRPr="001E2023">
        <w:rPr>
          <w:noProof/>
          <w:spacing w:val="-4"/>
        </w:rPr>
        <w:t>výňatkom</w:t>
      </w:r>
      <w:r w:rsidR="001E2023" w:rsidRPr="001E2023">
        <w:rPr>
          <w:noProof/>
          <w:spacing w:val="-4"/>
        </w:rPr>
        <w:t xml:space="preserve"> z </w:t>
      </w:r>
      <w:r w:rsidRPr="001E2023">
        <w:rPr>
          <w:noProof/>
          <w:spacing w:val="-4"/>
        </w:rPr>
        <w:t>oddielu 3.4.3 oznámenia</w:t>
      </w:r>
      <w:r w:rsidR="001E2023" w:rsidRPr="001E2023">
        <w:rPr>
          <w:noProof/>
          <w:spacing w:val="-4"/>
        </w:rPr>
        <w:t xml:space="preserve"> s </w:t>
      </w:r>
      <w:r w:rsidRPr="001E2023">
        <w:rPr>
          <w:noProof/>
          <w:spacing w:val="-4"/>
        </w:rPr>
        <w:t>informáciami na určenie dorovnávacej dane,</w:t>
      </w:r>
      <w:r w:rsidR="001E2023" w:rsidRPr="001E2023">
        <w:rPr>
          <w:noProof/>
          <w:spacing w:val="-4"/>
        </w:rPr>
        <w:t xml:space="preserve"> a </w:t>
      </w:r>
      <w:r w:rsidRPr="001E2023">
        <w:rPr>
          <w:noProof/>
          <w:spacing w:val="-4"/>
        </w:rPr>
        <w:t>vykonávajúcemu členskému štátu,</w:t>
      </w:r>
      <w:r w:rsidR="001E2023" w:rsidRPr="001E2023">
        <w:rPr>
          <w:noProof/>
          <w:spacing w:val="-4"/>
        </w:rPr>
        <w:t xml:space="preserve"> v </w:t>
      </w:r>
      <w:r w:rsidRPr="001E2023">
        <w:rPr>
          <w:noProof/>
          <w:spacing w:val="-4"/>
        </w:rPr>
        <w:t>ktorom sa hlavný materský subjekt nachádza, sa poskytnú všetky jurisdikčné oddiely.</w:t>
      </w:r>
    </w:p>
    <w:p w14:paraId="4AFE4BAC" w14:textId="77777777" w:rsidR="00C8423F" w:rsidRPr="001E2023" w:rsidRDefault="00C149E3" w:rsidP="00C149E3">
      <w:pPr>
        <w:pStyle w:val="ManualNumPar1"/>
        <w:rPr>
          <w:noProof/>
        </w:rPr>
      </w:pPr>
      <w:r w:rsidRPr="00C149E3">
        <w:rPr>
          <w:noProof/>
        </w:rPr>
        <w:t>3.</w:t>
      </w:r>
      <w:r w:rsidRPr="00C149E3">
        <w:rPr>
          <w:noProof/>
        </w:rPr>
        <w:tab/>
      </w:r>
      <w:r w:rsidR="00682561" w:rsidRPr="001E2023">
        <w:rPr>
          <w:noProof/>
        </w:rPr>
        <w:t>Príslušný orgán členského štátu si vymení oznámenie</w:t>
      </w:r>
      <w:r w:rsidR="001E2023">
        <w:rPr>
          <w:noProof/>
        </w:rPr>
        <w:t xml:space="preserve"> s </w:t>
      </w:r>
      <w:r w:rsidR="00682561" w:rsidRPr="001E2023">
        <w:rPr>
          <w:noProof/>
        </w:rPr>
        <w:t>informáciami na určenie dorovnávacej dane prijaté podľa odseku 1 čo najskôr</w:t>
      </w:r>
      <w:r w:rsidR="001E2023">
        <w:rPr>
          <w:noProof/>
        </w:rPr>
        <w:t xml:space="preserve"> a v </w:t>
      </w:r>
      <w:r w:rsidR="00682561" w:rsidRPr="001E2023">
        <w:rPr>
          <w:noProof/>
        </w:rPr>
        <w:t>každom prípade najneskôr do troch mesiacov po lehote na podanie informácií</w:t>
      </w:r>
      <w:r w:rsidR="001E2023">
        <w:rPr>
          <w:noProof/>
        </w:rPr>
        <w:t xml:space="preserve"> a </w:t>
      </w:r>
      <w:r w:rsidR="00682561" w:rsidRPr="001E2023">
        <w:rPr>
          <w:noProof/>
        </w:rPr>
        <w:t>oznámení za uvedené vykazované účtovné obdobie.</w:t>
      </w:r>
    </w:p>
    <w:p w14:paraId="18A9E2FF" w14:textId="77777777" w:rsidR="00682561" w:rsidRPr="001E2023" w:rsidRDefault="00C149E3" w:rsidP="00C149E3">
      <w:pPr>
        <w:pStyle w:val="ManualNumPar1"/>
        <w:rPr>
          <w:noProof/>
        </w:rPr>
      </w:pPr>
      <w:r w:rsidRPr="00C149E3">
        <w:rPr>
          <w:noProof/>
        </w:rPr>
        <w:t>4.</w:t>
      </w:r>
      <w:r w:rsidRPr="00C149E3">
        <w:rPr>
          <w:noProof/>
        </w:rPr>
        <w:tab/>
      </w:r>
      <w:r w:rsidR="00F060C4" w:rsidRPr="001E2023">
        <w:rPr>
          <w:noProof/>
        </w:rPr>
        <w:t>Príslušný orgán členského štátu si vymení oznámenie</w:t>
      </w:r>
      <w:r w:rsidR="001E2023" w:rsidRPr="001E2023">
        <w:rPr>
          <w:noProof/>
        </w:rPr>
        <w:t xml:space="preserve"> s </w:t>
      </w:r>
      <w:r w:rsidR="00F060C4" w:rsidRPr="001E2023">
        <w:rPr>
          <w:noProof/>
        </w:rPr>
        <w:t>informáciami na určenie dorovnávacej dane prijaté po lehote na podanie najneskôr do troch mesiacov odo dňa jeho prijatia.</w:t>
      </w:r>
    </w:p>
    <w:p w14:paraId="48761E7D" w14:textId="77777777" w:rsidR="00FD5802" w:rsidRPr="001E2023" w:rsidRDefault="00C149E3" w:rsidP="00C149E3">
      <w:pPr>
        <w:pStyle w:val="ManualNumPar1"/>
        <w:rPr>
          <w:noProof/>
        </w:rPr>
      </w:pPr>
      <w:r w:rsidRPr="00C149E3">
        <w:rPr>
          <w:noProof/>
        </w:rPr>
        <w:lastRenderedPageBreak/>
        <w:t>5.</w:t>
      </w:r>
      <w:r w:rsidRPr="00C149E3">
        <w:rPr>
          <w:noProof/>
        </w:rPr>
        <w:tab/>
      </w:r>
      <w:r w:rsidR="00FD5802" w:rsidRPr="001E2023">
        <w:rPr>
          <w:noProof/>
        </w:rPr>
        <w:t>Na uľahčenie výmeny informácií uvedených</w:t>
      </w:r>
      <w:r w:rsidR="001E2023">
        <w:rPr>
          <w:noProof/>
        </w:rPr>
        <w:t xml:space="preserve"> v </w:t>
      </w:r>
      <w:r w:rsidR="00FD5802" w:rsidRPr="001E2023">
        <w:rPr>
          <w:noProof/>
        </w:rPr>
        <w:t xml:space="preserve">odseku 2 tohto článku Komisia prijme prostredníctvom vykonávacích aktov potrebné </w:t>
      </w:r>
      <w:bookmarkStart w:id="1" w:name="_Hlk109131439"/>
      <w:r w:rsidR="00FD5802" w:rsidRPr="001E2023">
        <w:rPr>
          <w:noProof/>
        </w:rPr>
        <w:t>praktické opatrenia</w:t>
      </w:r>
      <w:bookmarkEnd w:id="1"/>
      <w:r w:rsidR="00FD5802" w:rsidRPr="001E2023">
        <w:rPr>
          <w:noProof/>
        </w:rPr>
        <w:t xml:space="preserve"> ako súčasť postupu na vypracovanie štandardného elektronického formulára stanoveného</w:t>
      </w:r>
      <w:r w:rsidR="001E2023">
        <w:rPr>
          <w:noProof/>
        </w:rPr>
        <w:t xml:space="preserve"> v </w:t>
      </w:r>
      <w:r w:rsidR="00FD5802" w:rsidRPr="001E2023">
        <w:rPr>
          <w:noProof/>
        </w:rPr>
        <w:t>článku 20 ods. 5. Uvedené vykonávacie akty sa prijmú</w:t>
      </w:r>
      <w:r w:rsidR="001E2023">
        <w:rPr>
          <w:noProof/>
        </w:rPr>
        <w:t xml:space="preserve"> v </w:t>
      </w:r>
      <w:r w:rsidR="00FD5802" w:rsidRPr="001E2023">
        <w:rPr>
          <w:noProof/>
        </w:rPr>
        <w:t>súlade</w:t>
      </w:r>
      <w:r w:rsidR="001E2023">
        <w:rPr>
          <w:noProof/>
        </w:rPr>
        <w:t xml:space="preserve"> s </w:t>
      </w:r>
      <w:r w:rsidR="00FD5802" w:rsidRPr="001E2023">
        <w:rPr>
          <w:noProof/>
        </w:rPr>
        <w:t>postupom uvedeným</w:t>
      </w:r>
      <w:r w:rsidR="001E2023">
        <w:rPr>
          <w:noProof/>
        </w:rPr>
        <w:t xml:space="preserve"> v </w:t>
      </w:r>
      <w:r w:rsidR="00FD5802" w:rsidRPr="001E2023">
        <w:rPr>
          <w:noProof/>
        </w:rPr>
        <w:t>článku 26 ods. 2.</w:t>
      </w:r>
    </w:p>
    <w:p w14:paraId="767C70AE" w14:textId="77777777" w:rsidR="00FD5802" w:rsidRPr="001E2023" w:rsidRDefault="00C149E3" w:rsidP="00C149E3">
      <w:pPr>
        <w:pStyle w:val="ManualNumPar1"/>
        <w:rPr>
          <w:noProof/>
        </w:rPr>
      </w:pPr>
      <w:r w:rsidRPr="00C149E3">
        <w:rPr>
          <w:noProof/>
        </w:rPr>
        <w:t>6.</w:t>
      </w:r>
      <w:r w:rsidRPr="00C149E3">
        <w:rPr>
          <w:noProof/>
        </w:rPr>
        <w:tab/>
      </w:r>
      <w:r w:rsidR="00FD5802" w:rsidRPr="001E2023">
        <w:rPr>
          <w:noProof/>
        </w:rPr>
        <w:t>Komisia nemá prístup</w:t>
      </w:r>
      <w:r w:rsidR="001E2023">
        <w:rPr>
          <w:noProof/>
        </w:rPr>
        <w:t xml:space="preserve"> k </w:t>
      </w:r>
      <w:r w:rsidR="00FD5802" w:rsidRPr="001E2023">
        <w:rPr>
          <w:noProof/>
        </w:rPr>
        <w:t>informáciám uvedeným</w:t>
      </w:r>
      <w:r w:rsidR="001E2023">
        <w:rPr>
          <w:noProof/>
        </w:rPr>
        <w:t xml:space="preserve"> v </w:t>
      </w:r>
      <w:r w:rsidR="00FD5802" w:rsidRPr="001E2023">
        <w:rPr>
          <w:noProof/>
        </w:rPr>
        <w:t>odseku 2 písm. a) až c).</w:t>
      </w:r>
    </w:p>
    <w:p w14:paraId="1EFBCA29" w14:textId="77777777" w:rsidR="00FD5802" w:rsidRPr="001E2023" w:rsidRDefault="00C149E3" w:rsidP="00C149E3">
      <w:pPr>
        <w:pStyle w:val="ManualNumPar1"/>
        <w:rPr>
          <w:noProof/>
        </w:rPr>
      </w:pPr>
      <w:bookmarkStart w:id="2" w:name="_Hlk112154037"/>
      <w:r w:rsidRPr="00C149E3">
        <w:rPr>
          <w:noProof/>
        </w:rPr>
        <w:t>7.</w:t>
      </w:r>
      <w:r w:rsidRPr="00C149E3">
        <w:rPr>
          <w:noProof/>
        </w:rPr>
        <w:tab/>
      </w:r>
      <w:r w:rsidR="00FD5802" w:rsidRPr="001E2023">
        <w:rPr>
          <w:noProof/>
        </w:rPr>
        <w:t>Informovanie</w:t>
      </w:r>
      <w:r w:rsidR="001E2023" w:rsidRPr="001E2023">
        <w:rPr>
          <w:noProof/>
        </w:rPr>
        <w:t xml:space="preserve"> a </w:t>
      </w:r>
      <w:r w:rsidR="00FD5802" w:rsidRPr="001E2023">
        <w:rPr>
          <w:noProof/>
        </w:rPr>
        <w:t>výmena uvedené</w:t>
      </w:r>
      <w:r w:rsidR="001E2023" w:rsidRPr="001E2023">
        <w:rPr>
          <w:noProof/>
        </w:rPr>
        <w:t xml:space="preserve"> v </w:t>
      </w:r>
      <w:r w:rsidR="00FD5802" w:rsidRPr="001E2023">
        <w:rPr>
          <w:noProof/>
        </w:rPr>
        <w:t>odsekoch 2, 3</w:t>
      </w:r>
      <w:r w:rsidR="001E2023" w:rsidRPr="001E2023">
        <w:rPr>
          <w:noProof/>
        </w:rPr>
        <w:t xml:space="preserve"> a </w:t>
      </w:r>
      <w:r w:rsidR="00FD5802" w:rsidRPr="001E2023">
        <w:rPr>
          <w:noProof/>
        </w:rPr>
        <w:t>4 tohto článku sa uskutočňujú prostredníctvom štandardného elektronického formulára uvedeného</w:t>
      </w:r>
      <w:r w:rsidR="001E2023" w:rsidRPr="001E2023">
        <w:rPr>
          <w:noProof/>
        </w:rPr>
        <w:t xml:space="preserve"> v </w:t>
      </w:r>
      <w:r w:rsidR="00FD5802" w:rsidRPr="001E2023">
        <w:rPr>
          <w:noProof/>
        </w:rPr>
        <w:t>článku 20 ods. 5.</w:t>
      </w:r>
      <w:bookmarkEnd w:id="2"/>
      <w:r w:rsidR="00FD5802" w:rsidRPr="001E2023">
        <w:rPr>
          <w:noProof/>
        </w:rPr>
        <w:t>“</w:t>
      </w:r>
    </w:p>
    <w:p w14:paraId="3C873F9E" w14:textId="77777777" w:rsidR="00186EFA" w:rsidRPr="001E2023" w:rsidRDefault="001E2023" w:rsidP="001E2023">
      <w:pPr>
        <w:pStyle w:val="Point0"/>
        <w:rPr>
          <w:noProof/>
        </w:rPr>
      </w:pPr>
      <w:r>
        <w:rPr>
          <w:noProof/>
        </w:rPr>
        <w:t>3.</w:t>
      </w:r>
      <w:r>
        <w:rPr>
          <w:noProof/>
        </w:rPr>
        <w:tab/>
      </w:r>
      <w:r w:rsidR="00F571E6" w:rsidRPr="001E2023">
        <w:rPr>
          <w:noProof/>
        </w:rPr>
        <w:t>Článok 8b sa nahrádza takto:</w:t>
      </w:r>
    </w:p>
    <w:p w14:paraId="2BA05722" w14:textId="77777777" w:rsidR="001241EC" w:rsidRPr="001E2023" w:rsidRDefault="001241EC" w:rsidP="00912B0A">
      <w:pPr>
        <w:pStyle w:val="Text3"/>
        <w:jc w:val="center"/>
        <w:rPr>
          <w:i/>
          <w:iCs/>
          <w:noProof/>
        </w:rPr>
      </w:pPr>
      <w:r w:rsidRPr="001E2023">
        <w:rPr>
          <w:i/>
          <w:noProof/>
        </w:rPr>
        <w:t>„Článok 8b</w:t>
      </w:r>
    </w:p>
    <w:p w14:paraId="413B78CF" w14:textId="77777777" w:rsidR="00186EFA" w:rsidRPr="001E2023" w:rsidRDefault="36253BAF" w:rsidP="00015138">
      <w:pPr>
        <w:pStyle w:val="Text3"/>
        <w:rPr>
          <w:noProof/>
        </w:rPr>
      </w:pPr>
      <w:r w:rsidRPr="001E2023">
        <w:rPr>
          <w:noProof/>
        </w:rPr>
        <w:t>Členské štáty poskytujú Komisii každoročne štatistické údaje</w:t>
      </w:r>
      <w:r w:rsidR="001E2023">
        <w:rPr>
          <w:noProof/>
        </w:rPr>
        <w:t xml:space="preserve"> o </w:t>
      </w:r>
      <w:r w:rsidRPr="001E2023">
        <w:rPr>
          <w:noProof/>
        </w:rPr>
        <w:t>objeme automatických výmen podľa článku 8 ods. 1</w:t>
      </w:r>
      <w:r w:rsidR="001E2023">
        <w:rPr>
          <w:noProof/>
        </w:rPr>
        <w:t xml:space="preserve"> a </w:t>
      </w:r>
      <w:r w:rsidRPr="001E2023">
        <w:rPr>
          <w:noProof/>
        </w:rPr>
        <w:t>3a, článkov 8aa, 8ac</w:t>
      </w:r>
      <w:r w:rsidR="001E2023">
        <w:rPr>
          <w:noProof/>
        </w:rPr>
        <w:t xml:space="preserve"> a </w:t>
      </w:r>
      <w:r w:rsidRPr="001E2023">
        <w:rPr>
          <w:noProof/>
        </w:rPr>
        <w:t>8ae</w:t>
      </w:r>
      <w:r w:rsidR="001E2023">
        <w:rPr>
          <w:noProof/>
        </w:rPr>
        <w:t xml:space="preserve"> a </w:t>
      </w:r>
      <w:r w:rsidRPr="001E2023">
        <w:rPr>
          <w:noProof/>
        </w:rPr>
        <w:t>aj informácie</w:t>
      </w:r>
      <w:r w:rsidR="001E2023">
        <w:rPr>
          <w:noProof/>
        </w:rPr>
        <w:t xml:space="preserve"> o </w:t>
      </w:r>
      <w:r w:rsidRPr="001E2023">
        <w:rPr>
          <w:noProof/>
        </w:rPr>
        <w:t>administratívnych</w:t>
      </w:r>
      <w:r w:rsidR="001E2023">
        <w:rPr>
          <w:noProof/>
        </w:rPr>
        <w:t xml:space="preserve"> a </w:t>
      </w:r>
      <w:r w:rsidRPr="001E2023">
        <w:rPr>
          <w:noProof/>
        </w:rPr>
        <w:t>ostatných relevantných nákladoch</w:t>
      </w:r>
      <w:r w:rsidR="001E2023">
        <w:rPr>
          <w:noProof/>
        </w:rPr>
        <w:t xml:space="preserve"> a </w:t>
      </w:r>
      <w:r w:rsidRPr="001E2023">
        <w:rPr>
          <w:noProof/>
        </w:rPr>
        <w:t>prínosoch, ktoré súvisia</w:t>
      </w:r>
      <w:r w:rsidR="001E2023">
        <w:rPr>
          <w:noProof/>
        </w:rPr>
        <w:t xml:space="preserve"> s </w:t>
      </w:r>
      <w:r w:rsidRPr="001E2023">
        <w:rPr>
          <w:noProof/>
        </w:rPr>
        <w:t>uskutočnenými výmenami,</w:t>
      </w:r>
      <w:r w:rsidR="001E2023">
        <w:rPr>
          <w:noProof/>
        </w:rPr>
        <w:t xml:space="preserve"> a </w:t>
      </w:r>
      <w:r w:rsidRPr="001E2023">
        <w:rPr>
          <w:noProof/>
        </w:rPr>
        <w:t>akýchkoľvek prípadných zmenách týkajúcich sa daňových správ</w:t>
      </w:r>
      <w:r w:rsidR="001E2023">
        <w:rPr>
          <w:noProof/>
        </w:rPr>
        <w:t xml:space="preserve"> a </w:t>
      </w:r>
      <w:r w:rsidRPr="001E2023">
        <w:rPr>
          <w:noProof/>
        </w:rPr>
        <w:t>tretích strán.“</w:t>
      </w:r>
    </w:p>
    <w:p w14:paraId="219685A7" w14:textId="77777777" w:rsidR="004759FE" w:rsidRPr="001E2023" w:rsidRDefault="001E2023" w:rsidP="001E2023">
      <w:pPr>
        <w:pStyle w:val="Point0"/>
        <w:rPr>
          <w:noProof/>
        </w:rPr>
      </w:pPr>
      <w:r>
        <w:rPr>
          <w:noProof/>
        </w:rPr>
        <w:t>4.</w:t>
      </w:r>
      <w:r>
        <w:rPr>
          <w:noProof/>
        </w:rPr>
        <w:tab/>
      </w:r>
      <w:r w:rsidR="00C0009A" w:rsidRPr="001E2023">
        <w:rPr>
          <w:noProof/>
        </w:rPr>
        <w:t>Dopĺňa sa tento článok:</w:t>
      </w:r>
    </w:p>
    <w:p w14:paraId="26921317" w14:textId="77777777" w:rsidR="00C0009A" w:rsidRPr="001E2023" w:rsidRDefault="52F76AA5" w:rsidP="00912B0A">
      <w:pPr>
        <w:pStyle w:val="Text1"/>
        <w:jc w:val="center"/>
        <w:rPr>
          <w:i/>
          <w:iCs/>
          <w:noProof/>
        </w:rPr>
      </w:pPr>
      <w:r w:rsidRPr="001E2023">
        <w:rPr>
          <w:i/>
          <w:iCs/>
          <w:noProof/>
        </w:rPr>
        <w:t>„Článok 9a</w:t>
      </w:r>
      <w:r w:rsidRPr="001E2023">
        <w:rPr>
          <w:noProof/>
        </w:rPr>
        <w:br/>
      </w:r>
      <w:r w:rsidRPr="001E2023">
        <w:rPr>
          <w:i/>
          <w:noProof/>
        </w:rPr>
        <w:t>Spolupráca na opravách, súlade</w:t>
      </w:r>
      <w:r w:rsidR="001E2023">
        <w:rPr>
          <w:i/>
          <w:noProof/>
        </w:rPr>
        <w:t xml:space="preserve"> a </w:t>
      </w:r>
      <w:r w:rsidRPr="001E2023">
        <w:rPr>
          <w:i/>
          <w:noProof/>
        </w:rPr>
        <w:t>presadzovaní pravidiel</w:t>
      </w:r>
      <w:r w:rsidR="001E2023">
        <w:rPr>
          <w:i/>
          <w:noProof/>
        </w:rPr>
        <w:t xml:space="preserve"> v </w:t>
      </w:r>
      <w:r w:rsidRPr="001E2023">
        <w:rPr>
          <w:i/>
          <w:noProof/>
        </w:rPr>
        <w:t>súvislosti</w:t>
      </w:r>
      <w:r w:rsidR="001E2023">
        <w:rPr>
          <w:i/>
          <w:noProof/>
        </w:rPr>
        <w:t xml:space="preserve"> s </w:t>
      </w:r>
      <w:r w:rsidRPr="001E2023">
        <w:rPr>
          <w:i/>
          <w:noProof/>
        </w:rPr>
        <w:t>oznámeniami</w:t>
      </w:r>
      <w:r w:rsidR="001E2023">
        <w:rPr>
          <w:i/>
          <w:noProof/>
        </w:rPr>
        <w:t xml:space="preserve"> s </w:t>
      </w:r>
      <w:r w:rsidRPr="001E2023">
        <w:rPr>
          <w:i/>
          <w:noProof/>
        </w:rPr>
        <w:t>informáciami na určenie dorovnávacej dane</w:t>
      </w:r>
    </w:p>
    <w:p w14:paraId="4CF30E67" w14:textId="77777777" w:rsidR="00395564" w:rsidRPr="001E2023" w:rsidRDefault="00C149E3" w:rsidP="00C149E3">
      <w:pPr>
        <w:pStyle w:val="ManualNumPar1"/>
        <w:rPr>
          <w:noProof/>
        </w:rPr>
      </w:pPr>
      <w:r w:rsidRPr="00C149E3">
        <w:rPr>
          <w:noProof/>
        </w:rPr>
        <w:t>1.</w:t>
      </w:r>
      <w:r w:rsidRPr="00C149E3">
        <w:rPr>
          <w:noProof/>
        </w:rPr>
        <w:tab/>
      </w:r>
      <w:r w:rsidR="00E97668" w:rsidRPr="001E2023">
        <w:rPr>
          <w:noProof/>
        </w:rPr>
        <w:t>Ak má príslušný orgán členského štátu dôvod domnievať sa, že informácie</w:t>
      </w:r>
      <w:r w:rsidR="001E2023" w:rsidRPr="001E2023">
        <w:rPr>
          <w:noProof/>
        </w:rPr>
        <w:t xml:space="preserve"> v </w:t>
      </w:r>
      <w:r w:rsidR="00E97668" w:rsidRPr="001E2023">
        <w:rPr>
          <w:noProof/>
        </w:rPr>
        <w:t>oznámení</w:t>
      </w:r>
      <w:r w:rsidR="001E2023" w:rsidRPr="001E2023">
        <w:rPr>
          <w:noProof/>
        </w:rPr>
        <w:t xml:space="preserve"> s </w:t>
      </w:r>
      <w:r w:rsidR="00E97668" w:rsidRPr="001E2023">
        <w:rPr>
          <w:noProof/>
        </w:rPr>
        <w:t>informáciami na určenie dorovnávacej dane týkajúce sa hlavného materského subjektu alebo určeného podávajúceho subjektu, ktorý sa nachádza</w:t>
      </w:r>
      <w:r w:rsidR="001E2023" w:rsidRPr="001E2023">
        <w:rPr>
          <w:noProof/>
        </w:rPr>
        <w:t xml:space="preserve"> v </w:t>
      </w:r>
      <w:r w:rsidR="00E97668" w:rsidRPr="001E2023">
        <w:rPr>
          <w:noProof/>
        </w:rPr>
        <w:t>jurisdikcii iného členského štátu, si vyžadujú opravy, oznámi to príslušnému orgánu tohto iného členského štátu. Ak príslušný orgán, ktorý dostal oznámenie, súhlasí</w:t>
      </w:r>
      <w:r w:rsidR="001E2023" w:rsidRPr="001E2023">
        <w:rPr>
          <w:noProof/>
        </w:rPr>
        <w:t xml:space="preserve"> s </w:t>
      </w:r>
      <w:r w:rsidR="00E97668" w:rsidRPr="001E2023">
        <w:rPr>
          <w:noProof/>
        </w:rPr>
        <w:t>tým, že informácie</w:t>
      </w:r>
      <w:r w:rsidR="001E2023" w:rsidRPr="001E2023">
        <w:rPr>
          <w:noProof/>
        </w:rPr>
        <w:t xml:space="preserve"> v </w:t>
      </w:r>
      <w:r w:rsidR="00E97668" w:rsidRPr="001E2023">
        <w:rPr>
          <w:noProof/>
        </w:rPr>
        <w:t>oznámení</w:t>
      </w:r>
      <w:r w:rsidR="001E2023" w:rsidRPr="001E2023">
        <w:rPr>
          <w:noProof/>
        </w:rPr>
        <w:t xml:space="preserve"> s </w:t>
      </w:r>
      <w:r w:rsidR="00E97668" w:rsidRPr="001E2023">
        <w:rPr>
          <w:noProof/>
        </w:rPr>
        <w:t>informáciami na určenie dorovnávacej dane si vyžadujú opravy, bezodkladne prijme vhodné opatrenia na získanie takýchto opravených informácií od dotknutého hlavného materského subjektu alebo určeného podávajúceho subjektu. Bezodkladne si vymení opravené informácie so všetkými príslušnými orgánmi, medzi ktorými sa takéto informácie majú vymieňať</w:t>
      </w:r>
      <w:r w:rsidR="001E2023" w:rsidRPr="001E2023">
        <w:rPr>
          <w:noProof/>
        </w:rPr>
        <w:t xml:space="preserve"> v </w:t>
      </w:r>
      <w:r w:rsidR="00E97668" w:rsidRPr="001E2023">
        <w:rPr>
          <w:noProof/>
        </w:rPr>
        <w:t>súlade</w:t>
      </w:r>
      <w:r w:rsidR="001E2023" w:rsidRPr="001E2023">
        <w:rPr>
          <w:noProof/>
        </w:rPr>
        <w:t xml:space="preserve"> s </w:t>
      </w:r>
      <w:r w:rsidR="00E97668" w:rsidRPr="001E2023">
        <w:rPr>
          <w:noProof/>
        </w:rPr>
        <w:t>touto smernicou.</w:t>
      </w:r>
    </w:p>
    <w:p w14:paraId="237C7656" w14:textId="77777777" w:rsidR="001E2023" w:rsidRPr="001E2023" w:rsidRDefault="00C149E3" w:rsidP="00C149E3">
      <w:pPr>
        <w:pStyle w:val="ManualNumPar1"/>
        <w:rPr>
          <w:noProof/>
        </w:rPr>
      </w:pPr>
      <w:r w:rsidRPr="00C149E3">
        <w:rPr>
          <w:noProof/>
        </w:rPr>
        <w:t>2.</w:t>
      </w:r>
      <w:r w:rsidRPr="00C149E3">
        <w:rPr>
          <w:noProof/>
        </w:rPr>
        <w:tab/>
      </w:r>
      <w:r w:rsidR="006B7AC1" w:rsidRPr="001E2023">
        <w:rPr>
          <w:noProof/>
        </w:rPr>
        <w:t>Ak príslušný orgán členského štátu dostal oznámenie od jedného alebo viacerých základných subjektov nachádzajúcich sa</w:t>
      </w:r>
      <w:r w:rsidR="001E2023" w:rsidRPr="001E2023">
        <w:rPr>
          <w:noProof/>
        </w:rPr>
        <w:t xml:space="preserve"> v </w:t>
      </w:r>
      <w:r w:rsidR="006B7AC1" w:rsidRPr="001E2023">
        <w:rPr>
          <w:noProof/>
        </w:rPr>
        <w:t>jeho členskom štáte, že oznámenie</w:t>
      </w:r>
      <w:r w:rsidR="001E2023" w:rsidRPr="001E2023">
        <w:rPr>
          <w:noProof/>
        </w:rPr>
        <w:t xml:space="preserve"> s </w:t>
      </w:r>
      <w:r w:rsidR="006B7AC1" w:rsidRPr="001E2023">
        <w:rPr>
          <w:noProof/>
        </w:rPr>
        <w:t>informáciami na určenie dorovnávacej dane mal za tieto základné subjekty podať hlavný materský subjekt alebo určený podávajúci subjekt nachádzajúci sa</w:t>
      </w:r>
      <w:r w:rsidR="001E2023" w:rsidRPr="001E2023">
        <w:rPr>
          <w:noProof/>
        </w:rPr>
        <w:t xml:space="preserve"> v </w:t>
      </w:r>
      <w:r w:rsidR="006B7AC1" w:rsidRPr="001E2023">
        <w:rPr>
          <w:noProof/>
        </w:rPr>
        <w:t>inom členskom štáte, ale informácie uvedené</w:t>
      </w:r>
      <w:r w:rsidR="001E2023" w:rsidRPr="001E2023">
        <w:rPr>
          <w:noProof/>
        </w:rPr>
        <w:t xml:space="preserve"> v </w:t>
      </w:r>
      <w:r w:rsidR="006B7AC1" w:rsidRPr="001E2023">
        <w:rPr>
          <w:noProof/>
        </w:rPr>
        <w:t>oznámení</w:t>
      </w:r>
      <w:r w:rsidR="001E2023" w:rsidRPr="001E2023">
        <w:rPr>
          <w:noProof/>
        </w:rPr>
        <w:t xml:space="preserve"> s </w:t>
      </w:r>
      <w:r w:rsidR="006B7AC1" w:rsidRPr="001E2023">
        <w:rPr>
          <w:noProof/>
        </w:rPr>
        <w:t>informáciami na určenie dorovnávacej dane neboli vymenené</w:t>
      </w:r>
      <w:r w:rsidR="001E2023" w:rsidRPr="001E2023">
        <w:rPr>
          <w:noProof/>
        </w:rPr>
        <w:t xml:space="preserve"> v </w:t>
      </w:r>
      <w:r w:rsidR="006B7AC1" w:rsidRPr="001E2023">
        <w:rPr>
          <w:noProof/>
        </w:rPr>
        <w:t>lehotách uvedených</w:t>
      </w:r>
      <w:r w:rsidR="001E2023" w:rsidRPr="001E2023">
        <w:rPr>
          <w:noProof/>
        </w:rPr>
        <w:t xml:space="preserve"> v </w:t>
      </w:r>
      <w:r w:rsidR="006B7AC1" w:rsidRPr="001E2023">
        <w:rPr>
          <w:noProof/>
        </w:rPr>
        <w:t>článku 8ae ods. 3, oznámi druhému príslušnému orgánu, že tieto informácie neboli doručené. Príslušný orgán, ktorý dostal oznámenie, bezodkladne určí dôvod neuskutočnenia výmeny príslušného oznámenia</w:t>
      </w:r>
      <w:r w:rsidR="001E2023" w:rsidRPr="001E2023">
        <w:rPr>
          <w:noProof/>
        </w:rPr>
        <w:t xml:space="preserve"> s </w:t>
      </w:r>
      <w:r w:rsidR="006B7AC1" w:rsidRPr="001E2023">
        <w:rPr>
          <w:noProof/>
        </w:rPr>
        <w:t>informáciami na určenie dorovnávacej dane,</w:t>
      </w:r>
      <w:r w:rsidR="001E2023" w:rsidRPr="001E2023">
        <w:rPr>
          <w:noProof/>
        </w:rPr>
        <w:t xml:space="preserve"> a </w:t>
      </w:r>
      <w:r w:rsidR="006B7AC1" w:rsidRPr="001E2023">
        <w:rPr>
          <w:noProof/>
        </w:rPr>
        <w:t>do jedného mesiaca od prijatia oznámenia informuje príslušný orgán,</w:t>
      </w:r>
      <w:r w:rsidR="001E2023" w:rsidRPr="001E2023">
        <w:rPr>
          <w:noProof/>
        </w:rPr>
        <w:t xml:space="preserve"> a </w:t>
      </w:r>
      <w:r w:rsidR="006B7AC1" w:rsidRPr="001E2023">
        <w:rPr>
          <w:noProof/>
        </w:rPr>
        <w:t>to vrátane očakávaného dátumu výmeny oznámenia</w:t>
      </w:r>
      <w:r w:rsidR="001E2023" w:rsidRPr="001E2023">
        <w:rPr>
          <w:noProof/>
        </w:rPr>
        <w:t xml:space="preserve"> s </w:t>
      </w:r>
      <w:r w:rsidR="006B7AC1" w:rsidRPr="001E2023">
        <w:rPr>
          <w:noProof/>
        </w:rPr>
        <w:t>informáciami na určenie dorovnávacej dane, ak je to relevantné.“</w:t>
      </w:r>
    </w:p>
    <w:p w14:paraId="78D490D0" w14:textId="77777777" w:rsidR="00151FAF" w:rsidRPr="001E2023" w:rsidRDefault="001E2023" w:rsidP="001E2023">
      <w:pPr>
        <w:pStyle w:val="Point0"/>
        <w:rPr>
          <w:noProof/>
        </w:rPr>
      </w:pPr>
      <w:r>
        <w:rPr>
          <w:noProof/>
        </w:rPr>
        <w:t>5.</w:t>
      </w:r>
      <w:r>
        <w:rPr>
          <w:noProof/>
        </w:rPr>
        <w:tab/>
      </w:r>
      <w:r w:rsidR="004458A8" w:rsidRPr="001E2023">
        <w:rPr>
          <w:noProof/>
        </w:rPr>
        <w:t>V článku 18 sa odsek 4 nahrádza takto:</w:t>
      </w:r>
    </w:p>
    <w:p w14:paraId="0DC47806" w14:textId="77777777" w:rsidR="00151FAF" w:rsidRPr="001E2023" w:rsidRDefault="00151FAF" w:rsidP="00151FAF">
      <w:pPr>
        <w:pStyle w:val="Point1"/>
        <w:rPr>
          <w:noProof/>
        </w:rPr>
      </w:pPr>
      <w:r w:rsidRPr="001E2023">
        <w:rPr>
          <w:noProof/>
        </w:rPr>
        <w:lastRenderedPageBreak/>
        <w:t>„4.</w:t>
      </w:r>
      <w:r w:rsidRPr="001E2023">
        <w:rPr>
          <w:noProof/>
        </w:rPr>
        <w:tab/>
        <w:t>Príslušný orgán každého členského štátu zavedie účinný mechanizmus na zabezpečenie používania informácií získaných prostredníctvom oznamovania alebo výmeny informácií podľa článkov 8 až 8ae.“</w:t>
      </w:r>
    </w:p>
    <w:p w14:paraId="453D266B" w14:textId="77777777" w:rsidR="000C3632" w:rsidRPr="001E2023" w:rsidRDefault="001E2023" w:rsidP="001E2023">
      <w:pPr>
        <w:pStyle w:val="Point0"/>
        <w:rPr>
          <w:noProof/>
        </w:rPr>
      </w:pPr>
      <w:r>
        <w:rPr>
          <w:noProof/>
        </w:rPr>
        <w:t>6.</w:t>
      </w:r>
      <w:r>
        <w:rPr>
          <w:noProof/>
        </w:rPr>
        <w:tab/>
      </w:r>
      <w:r w:rsidR="000C3632" w:rsidRPr="001E2023">
        <w:rPr>
          <w:noProof/>
        </w:rPr>
        <w:t>V článku 20 sa odsek 5 nahrádza takto:</w:t>
      </w:r>
    </w:p>
    <w:p w14:paraId="55F79F1A" w14:textId="77777777" w:rsidR="000C3632" w:rsidRPr="001E2023" w:rsidRDefault="000C3632" w:rsidP="000C3632">
      <w:pPr>
        <w:pStyle w:val="Text1"/>
        <w:rPr>
          <w:noProof/>
        </w:rPr>
      </w:pPr>
      <w:r w:rsidRPr="001E2023">
        <w:rPr>
          <w:noProof/>
        </w:rPr>
        <w:t>„5.</w:t>
      </w:r>
      <w:r w:rsidRPr="001E2023">
        <w:rPr>
          <w:noProof/>
        </w:rPr>
        <w:tab/>
        <w:t>Komisia prijme vykonávacie akty, ktorými sa stanovujú štandardné elektronické formuláre vrátane jazykového režimu,</w:t>
      </w:r>
      <w:r w:rsidR="001E2023">
        <w:rPr>
          <w:noProof/>
        </w:rPr>
        <w:t xml:space="preserve"> v </w:t>
      </w:r>
      <w:r w:rsidRPr="001E2023">
        <w:rPr>
          <w:noProof/>
        </w:rPr>
        <w:t>týchto prípadoch:</w:t>
      </w:r>
    </w:p>
    <w:p w14:paraId="179F862F" w14:textId="77777777" w:rsidR="000C3632" w:rsidRPr="001E2023" w:rsidRDefault="001E2023" w:rsidP="001E2023">
      <w:pPr>
        <w:pStyle w:val="Point1"/>
        <w:rPr>
          <w:noProof/>
        </w:rPr>
      </w:pPr>
      <w:r>
        <w:rPr>
          <w:noProof/>
        </w:rPr>
        <w:t>a)</w:t>
      </w:r>
      <w:r>
        <w:rPr>
          <w:noProof/>
        </w:rPr>
        <w:tab/>
      </w:r>
      <w:r w:rsidR="000C3632" w:rsidRPr="001E2023">
        <w:rPr>
          <w:noProof/>
        </w:rPr>
        <w:t>na automatickú výmenu informácií</w:t>
      </w:r>
      <w:r>
        <w:rPr>
          <w:noProof/>
        </w:rPr>
        <w:t xml:space="preserve"> o </w:t>
      </w:r>
      <w:r w:rsidR="000C3632" w:rsidRPr="001E2023">
        <w:rPr>
          <w:noProof/>
        </w:rPr>
        <w:t>cezhraničných záväzných stanoviskách</w:t>
      </w:r>
      <w:r>
        <w:rPr>
          <w:noProof/>
        </w:rPr>
        <w:t xml:space="preserve"> a </w:t>
      </w:r>
      <w:r w:rsidR="000C3632" w:rsidRPr="001E2023">
        <w:rPr>
          <w:noProof/>
        </w:rPr>
        <w:t>záväzných stanoviskách</w:t>
      </w:r>
      <w:r>
        <w:rPr>
          <w:noProof/>
        </w:rPr>
        <w:t xml:space="preserve"> k </w:t>
      </w:r>
      <w:r w:rsidR="000C3632" w:rsidRPr="001E2023">
        <w:rPr>
          <w:noProof/>
        </w:rPr>
        <w:t>stanoveniu metódy ocenenia podľa článku 8a pred 1. januárom 2017;</w:t>
      </w:r>
    </w:p>
    <w:p w14:paraId="5DEB7577" w14:textId="77777777" w:rsidR="000C3632" w:rsidRPr="001E2023" w:rsidRDefault="001E2023" w:rsidP="001E2023">
      <w:pPr>
        <w:pStyle w:val="Point1"/>
        <w:rPr>
          <w:noProof/>
        </w:rPr>
      </w:pPr>
      <w:r>
        <w:rPr>
          <w:noProof/>
        </w:rPr>
        <w:t>b)</w:t>
      </w:r>
      <w:r>
        <w:rPr>
          <w:noProof/>
        </w:rPr>
        <w:tab/>
      </w:r>
      <w:r w:rsidR="000C3632" w:rsidRPr="001E2023">
        <w:rPr>
          <w:noProof/>
        </w:rPr>
        <w:t>na automatickú výmenu informácií</w:t>
      </w:r>
      <w:r>
        <w:rPr>
          <w:noProof/>
        </w:rPr>
        <w:t xml:space="preserve"> o </w:t>
      </w:r>
      <w:r w:rsidR="000C3632" w:rsidRPr="001E2023">
        <w:rPr>
          <w:noProof/>
        </w:rPr>
        <w:t>cezhraničných opatreniach podliehajúcich oznamovaniu podľa článku 8ab pred 30. júnom 2019;</w:t>
      </w:r>
    </w:p>
    <w:p w14:paraId="2D063F82" w14:textId="77777777" w:rsidR="000C3632" w:rsidRPr="001E2023" w:rsidRDefault="001E2023" w:rsidP="001E2023">
      <w:pPr>
        <w:pStyle w:val="Point1"/>
        <w:rPr>
          <w:noProof/>
        </w:rPr>
      </w:pPr>
      <w:r>
        <w:rPr>
          <w:noProof/>
        </w:rPr>
        <w:t>c)</w:t>
      </w:r>
      <w:r>
        <w:rPr>
          <w:noProof/>
        </w:rPr>
        <w:tab/>
      </w:r>
      <w:r w:rsidR="000C3632" w:rsidRPr="001E2023">
        <w:rPr>
          <w:noProof/>
        </w:rPr>
        <w:t>na automatickú výmenu informácií</w:t>
      </w:r>
      <w:r>
        <w:rPr>
          <w:noProof/>
        </w:rPr>
        <w:t xml:space="preserve"> o </w:t>
      </w:r>
      <w:r w:rsidR="000C3632" w:rsidRPr="001E2023">
        <w:rPr>
          <w:noProof/>
        </w:rPr>
        <w:t>kryptoaktívach podliehajúcich oznamovaniu podľa článku 8ad pred 30. júnom 2025;</w:t>
      </w:r>
    </w:p>
    <w:p w14:paraId="63BF1991" w14:textId="77777777" w:rsidR="000C3632" w:rsidRPr="001E2023" w:rsidRDefault="001E2023" w:rsidP="001E2023">
      <w:pPr>
        <w:pStyle w:val="Point1"/>
        <w:rPr>
          <w:noProof/>
        </w:rPr>
      </w:pPr>
      <w:r>
        <w:rPr>
          <w:noProof/>
        </w:rPr>
        <w:t>d)</w:t>
      </w:r>
      <w:r>
        <w:rPr>
          <w:noProof/>
        </w:rPr>
        <w:tab/>
      </w:r>
      <w:r w:rsidR="000C3632" w:rsidRPr="001E2023">
        <w:rPr>
          <w:noProof/>
        </w:rPr>
        <w:t>na automatickú výmenu oznámení</w:t>
      </w:r>
      <w:r>
        <w:rPr>
          <w:noProof/>
        </w:rPr>
        <w:t xml:space="preserve"> s </w:t>
      </w:r>
      <w:r w:rsidR="000C3632" w:rsidRPr="001E2023">
        <w:rPr>
          <w:noProof/>
        </w:rPr>
        <w:t>informáciami na určenie dorovnávacej dane podľa článku 8ae pred 1. januárom 2026.</w:t>
      </w:r>
    </w:p>
    <w:p w14:paraId="3544CA7C" w14:textId="77777777" w:rsidR="000C3632" w:rsidRPr="001E2023" w:rsidRDefault="000C3632" w:rsidP="000C3632">
      <w:pPr>
        <w:pStyle w:val="Text1"/>
        <w:rPr>
          <w:noProof/>
        </w:rPr>
      </w:pPr>
      <w:r w:rsidRPr="001E2023">
        <w:rPr>
          <w:noProof/>
        </w:rPr>
        <w:t>Uvedené štandardné elektronické formuláre neobsahujú iné prvky než prvky na výmenu informácií uvedené</w:t>
      </w:r>
      <w:r w:rsidR="001E2023">
        <w:rPr>
          <w:noProof/>
        </w:rPr>
        <w:t xml:space="preserve"> v </w:t>
      </w:r>
      <w:r w:rsidRPr="001E2023">
        <w:rPr>
          <w:noProof/>
        </w:rPr>
        <w:t>článku 8a ods. 6, článku 8ab ods. 14, článku 8ad ods. 3</w:t>
      </w:r>
      <w:r w:rsidR="001E2023">
        <w:rPr>
          <w:noProof/>
        </w:rPr>
        <w:t xml:space="preserve"> a </w:t>
      </w:r>
      <w:r w:rsidRPr="001E2023">
        <w:rPr>
          <w:noProof/>
        </w:rPr>
        <w:t>článku 8ae ods. 2</w:t>
      </w:r>
      <w:r w:rsidR="001E2023">
        <w:rPr>
          <w:noProof/>
        </w:rPr>
        <w:t xml:space="preserve"> a </w:t>
      </w:r>
      <w:r w:rsidRPr="001E2023">
        <w:rPr>
          <w:noProof/>
        </w:rPr>
        <w:t>iné súvisiace kolónky prepojené</w:t>
      </w:r>
      <w:r w:rsidR="001E2023">
        <w:rPr>
          <w:noProof/>
        </w:rPr>
        <w:t xml:space="preserve"> s </w:t>
      </w:r>
      <w:r w:rsidRPr="001E2023">
        <w:rPr>
          <w:noProof/>
        </w:rPr>
        <w:t>týmito prvkami, ktoré sú potrebné na dosiahnutie cieľov článkov 8a, 8ab, 8ad</w:t>
      </w:r>
      <w:r w:rsidR="001E2023">
        <w:rPr>
          <w:noProof/>
        </w:rPr>
        <w:t xml:space="preserve"> a </w:t>
      </w:r>
      <w:r w:rsidRPr="001E2023">
        <w:rPr>
          <w:noProof/>
        </w:rPr>
        <w:t>8ae.</w:t>
      </w:r>
    </w:p>
    <w:p w14:paraId="2B18C5B9" w14:textId="77777777" w:rsidR="000C3632" w:rsidRPr="001E2023" w:rsidRDefault="000C3632" w:rsidP="000C3632">
      <w:pPr>
        <w:pStyle w:val="Text1"/>
        <w:rPr>
          <w:noProof/>
          <w:spacing w:val="-4"/>
        </w:rPr>
      </w:pPr>
      <w:r w:rsidRPr="001E2023">
        <w:rPr>
          <w:noProof/>
          <w:spacing w:val="-4"/>
        </w:rPr>
        <w:t>Jazykovým režimom uvedeným</w:t>
      </w:r>
      <w:r w:rsidR="001E2023" w:rsidRPr="001E2023">
        <w:rPr>
          <w:noProof/>
          <w:spacing w:val="-4"/>
        </w:rPr>
        <w:t xml:space="preserve"> v </w:t>
      </w:r>
      <w:r w:rsidRPr="001E2023">
        <w:rPr>
          <w:noProof/>
          <w:spacing w:val="-4"/>
        </w:rPr>
        <w:t>prvom pododseku tohto odseku sa členským štátom nebráni</w:t>
      </w:r>
      <w:r w:rsidR="001E2023" w:rsidRPr="001E2023">
        <w:rPr>
          <w:noProof/>
          <w:spacing w:val="-4"/>
        </w:rPr>
        <w:t xml:space="preserve"> v </w:t>
      </w:r>
      <w:r w:rsidRPr="001E2023">
        <w:rPr>
          <w:noProof/>
          <w:spacing w:val="-4"/>
        </w:rPr>
        <w:t>oznamovaní informácií uvedených</w:t>
      </w:r>
      <w:r w:rsidR="001E2023" w:rsidRPr="001E2023">
        <w:rPr>
          <w:noProof/>
          <w:spacing w:val="-4"/>
        </w:rPr>
        <w:t xml:space="preserve"> v </w:t>
      </w:r>
      <w:r w:rsidRPr="001E2023">
        <w:rPr>
          <w:noProof/>
          <w:spacing w:val="-4"/>
        </w:rPr>
        <w:t>článkoch 8a</w:t>
      </w:r>
      <w:r w:rsidR="001E2023" w:rsidRPr="001E2023">
        <w:rPr>
          <w:noProof/>
          <w:spacing w:val="-4"/>
        </w:rPr>
        <w:t xml:space="preserve"> a </w:t>
      </w:r>
      <w:r w:rsidRPr="001E2023">
        <w:rPr>
          <w:noProof/>
          <w:spacing w:val="-4"/>
        </w:rPr>
        <w:t>8ab</w:t>
      </w:r>
      <w:r w:rsidR="001E2023" w:rsidRPr="001E2023">
        <w:rPr>
          <w:noProof/>
          <w:spacing w:val="-4"/>
        </w:rPr>
        <w:t xml:space="preserve"> v </w:t>
      </w:r>
      <w:r w:rsidRPr="001E2023">
        <w:rPr>
          <w:noProof/>
          <w:spacing w:val="-4"/>
        </w:rPr>
        <w:t>ktoromkoľvek úradnom jazyku Únie.</w:t>
      </w:r>
      <w:r w:rsidR="001E2023" w:rsidRPr="001E2023">
        <w:rPr>
          <w:noProof/>
          <w:spacing w:val="-4"/>
        </w:rPr>
        <w:t xml:space="preserve"> V </w:t>
      </w:r>
      <w:r w:rsidRPr="001E2023">
        <w:rPr>
          <w:noProof/>
          <w:spacing w:val="-4"/>
        </w:rPr>
        <w:t>uvedenom jazykovom režime sa však môže stanoviť, aby sa kľúčové prvky takýchto informácií zasielali aj</w:t>
      </w:r>
      <w:r w:rsidR="001E2023" w:rsidRPr="001E2023">
        <w:rPr>
          <w:noProof/>
          <w:spacing w:val="-4"/>
        </w:rPr>
        <w:t xml:space="preserve"> v </w:t>
      </w:r>
      <w:r w:rsidRPr="001E2023">
        <w:rPr>
          <w:noProof/>
          <w:spacing w:val="-4"/>
        </w:rPr>
        <w:t>inom úradnom jazyku Únie.</w:t>
      </w:r>
    </w:p>
    <w:p w14:paraId="70661967" w14:textId="77777777" w:rsidR="007E27AA" w:rsidRPr="001E2023" w:rsidRDefault="000C3632" w:rsidP="000C3632">
      <w:pPr>
        <w:pStyle w:val="Text1"/>
        <w:rPr>
          <w:noProof/>
        </w:rPr>
      </w:pPr>
      <w:r w:rsidRPr="001E2023">
        <w:rPr>
          <w:noProof/>
        </w:rPr>
        <w:t>Vykonávacie akty uvedené</w:t>
      </w:r>
      <w:r w:rsidR="001E2023">
        <w:rPr>
          <w:noProof/>
        </w:rPr>
        <w:t xml:space="preserve"> v </w:t>
      </w:r>
      <w:r w:rsidRPr="001E2023">
        <w:rPr>
          <w:noProof/>
        </w:rPr>
        <w:t>tomto odseku sa prijmú</w:t>
      </w:r>
      <w:r w:rsidR="001E2023">
        <w:rPr>
          <w:noProof/>
        </w:rPr>
        <w:t xml:space="preserve"> v </w:t>
      </w:r>
      <w:r w:rsidRPr="001E2023">
        <w:rPr>
          <w:noProof/>
        </w:rPr>
        <w:t>súlade</w:t>
      </w:r>
      <w:r w:rsidR="001E2023">
        <w:rPr>
          <w:noProof/>
        </w:rPr>
        <w:t xml:space="preserve"> s </w:t>
      </w:r>
      <w:r w:rsidRPr="001E2023">
        <w:rPr>
          <w:noProof/>
        </w:rPr>
        <w:t>postupom uvedeným</w:t>
      </w:r>
      <w:r w:rsidR="001E2023">
        <w:rPr>
          <w:noProof/>
        </w:rPr>
        <w:t xml:space="preserve"> v </w:t>
      </w:r>
      <w:r w:rsidRPr="001E2023">
        <w:rPr>
          <w:noProof/>
        </w:rPr>
        <w:t>článku 26 ods. 2.“</w:t>
      </w:r>
    </w:p>
    <w:p w14:paraId="17E98466" w14:textId="77777777" w:rsidR="0054056C" w:rsidRPr="001E2023" w:rsidRDefault="001E2023" w:rsidP="001E2023">
      <w:pPr>
        <w:pStyle w:val="Point0"/>
        <w:rPr>
          <w:noProof/>
        </w:rPr>
      </w:pPr>
      <w:r>
        <w:rPr>
          <w:noProof/>
        </w:rPr>
        <w:t>7.</w:t>
      </w:r>
      <w:r>
        <w:rPr>
          <w:noProof/>
        </w:rPr>
        <w:tab/>
      </w:r>
      <w:r w:rsidR="00BE7AE8" w:rsidRPr="001E2023">
        <w:rPr>
          <w:noProof/>
        </w:rPr>
        <w:t>V článku 21 sa dopĺňa tento odsek:</w:t>
      </w:r>
    </w:p>
    <w:p w14:paraId="7488F9D2" w14:textId="77777777" w:rsidR="00E20097" w:rsidRPr="001E2023" w:rsidRDefault="00DF44C6" w:rsidP="00E20097">
      <w:pPr>
        <w:pStyle w:val="Point1"/>
        <w:rPr>
          <w:rFonts w:asciiTheme="majorBidi" w:hAnsiTheme="majorBidi" w:cstheme="majorBidi"/>
          <w:noProof/>
        </w:rPr>
      </w:pPr>
      <w:r w:rsidRPr="001E2023">
        <w:rPr>
          <w:rFonts w:asciiTheme="majorBidi" w:hAnsiTheme="majorBidi"/>
          <w:noProof/>
        </w:rPr>
        <w:t>„9. Komisia je splnomocnená prijímať delegované akty</w:t>
      </w:r>
      <w:r w:rsidR="001E2023">
        <w:rPr>
          <w:rFonts w:asciiTheme="majorBidi" w:hAnsiTheme="majorBidi"/>
          <w:noProof/>
        </w:rPr>
        <w:t xml:space="preserve"> v </w:t>
      </w:r>
      <w:r w:rsidRPr="001E2023">
        <w:rPr>
          <w:rFonts w:asciiTheme="majorBidi" w:hAnsiTheme="majorBidi"/>
          <w:noProof/>
        </w:rPr>
        <w:t>súlade</w:t>
      </w:r>
      <w:r w:rsidR="001E2023">
        <w:rPr>
          <w:rFonts w:asciiTheme="majorBidi" w:hAnsiTheme="majorBidi"/>
          <w:noProof/>
        </w:rPr>
        <w:t xml:space="preserve"> s </w:t>
      </w:r>
      <w:r w:rsidRPr="001E2023">
        <w:rPr>
          <w:rFonts w:asciiTheme="majorBidi" w:hAnsiTheme="majorBidi"/>
          <w:noProof/>
        </w:rPr>
        <w:t>článkom 26a na zmenu oddielu III prílohy VII</w:t>
      </w:r>
      <w:r w:rsidR="001E2023">
        <w:rPr>
          <w:rFonts w:asciiTheme="majorBidi" w:hAnsiTheme="majorBidi"/>
          <w:noProof/>
        </w:rPr>
        <w:t xml:space="preserve"> s </w:t>
      </w:r>
      <w:r w:rsidRPr="001E2023">
        <w:rPr>
          <w:rFonts w:asciiTheme="majorBidi" w:hAnsiTheme="majorBidi"/>
          <w:noProof/>
        </w:rPr>
        <w:t>cieľom zosúladiť ho</w:t>
      </w:r>
      <w:r w:rsidR="001E2023">
        <w:rPr>
          <w:rFonts w:asciiTheme="majorBidi" w:hAnsiTheme="majorBidi"/>
          <w:noProof/>
        </w:rPr>
        <w:t xml:space="preserve"> s </w:t>
      </w:r>
      <w:r w:rsidRPr="001E2023">
        <w:rPr>
          <w:rFonts w:asciiTheme="majorBidi" w:hAnsiTheme="majorBidi"/>
          <w:noProof/>
        </w:rPr>
        <w:t>akoukoľvek aktualizáciou štandardného oznámenia</w:t>
      </w:r>
      <w:r w:rsidR="001E2023">
        <w:rPr>
          <w:rFonts w:asciiTheme="majorBidi" w:hAnsiTheme="majorBidi"/>
          <w:noProof/>
        </w:rPr>
        <w:t xml:space="preserve"> s </w:t>
      </w:r>
      <w:r w:rsidRPr="001E2023">
        <w:rPr>
          <w:rFonts w:asciiTheme="majorBidi" w:hAnsiTheme="majorBidi"/>
          <w:noProof/>
        </w:rPr>
        <w:t>informáciami na určenie dorovnávacej dane stanoveného</w:t>
      </w:r>
      <w:r w:rsidR="001E2023">
        <w:rPr>
          <w:rFonts w:asciiTheme="majorBidi" w:hAnsiTheme="majorBidi"/>
          <w:noProof/>
        </w:rPr>
        <w:t xml:space="preserve"> v </w:t>
      </w:r>
      <w:r w:rsidRPr="001E2023">
        <w:rPr>
          <w:rFonts w:asciiTheme="majorBidi" w:hAnsiTheme="majorBidi"/>
          <w:noProof/>
        </w:rPr>
        <w:t>dohode inkluzívneho rámca OECD/G20 pre boj proti narúšaniu základu dane</w:t>
      </w:r>
      <w:r w:rsidR="001E2023">
        <w:rPr>
          <w:rFonts w:asciiTheme="majorBidi" w:hAnsiTheme="majorBidi"/>
          <w:noProof/>
        </w:rPr>
        <w:t xml:space="preserve"> a </w:t>
      </w:r>
      <w:r w:rsidRPr="001E2023">
        <w:rPr>
          <w:rFonts w:asciiTheme="majorBidi" w:hAnsiTheme="majorBidi"/>
          <w:noProof/>
        </w:rPr>
        <w:t>presunu ziskov (BEPS)*.</w:t>
      </w:r>
    </w:p>
    <w:p w14:paraId="45E4D30B" w14:textId="77777777" w:rsidR="00E20097" w:rsidRPr="001E2023" w:rsidRDefault="00E20097" w:rsidP="00E20097">
      <w:pPr>
        <w:pStyle w:val="Point1"/>
        <w:rPr>
          <w:rFonts w:asciiTheme="majorBidi" w:hAnsiTheme="majorBidi" w:cstheme="majorBidi"/>
          <w:noProof/>
        </w:rPr>
      </w:pPr>
      <w:r w:rsidRPr="001E2023">
        <w:rPr>
          <w:rFonts w:asciiTheme="majorBidi" w:hAnsiTheme="majorBidi"/>
          <w:noProof/>
        </w:rPr>
        <w:tab/>
        <w:t xml:space="preserve">*OECD, </w:t>
      </w:r>
      <w:r w:rsidRPr="001E2023">
        <w:rPr>
          <w:rFonts w:asciiTheme="majorBidi" w:hAnsiTheme="majorBidi"/>
          <w:i/>
          <w:iCs/>
          <w:noProof/>
        </w:rPr>
        <w:t>Tax Challenges Arising from the Digitalisation of the Economy – GloBE Information Return (Pillar Two)</w:t>
      </w:r>
      <w:r w:rsidRPr="001E2023">
        <w:rPr>
          <w:rFonts w:asciiTheme="majorBidi" w:hAnsiTheme="majorBidi"/>
          <w:noProof/>
        </w:rPr>
        <w:t xml:space="preserve"> [Daňové výzvy vyplývajúce</w:t>
      </w:r>
      <w:r w:rsidR="001E2023">
        <w:rPr>
          <w:rFonts w:asciiTheme="majorBidi" w:hAnsiTheme="majorBidi"/>
          <w:noProof/>
        </w:rPr>
        <w:t xml:space="preserve"> z </w:t>
      </w:r>
      <w:r w:rsidRPr="001E2023">
        <w:rPr>
          <w:rFonts w:asciiTheme="majorBidi" w:hAnsiTheme="majorBidi"/>
          <w:noProof/>
        </w:rPr>
        <w:t>digitalizácie hospodárstva – oznámenie</w:t>
      </w:r>
      <w:r w:rsidR="001E2023">
        <w:rPr>
          <w:rFonts w:asciiTheme="majorBidi" w:hAnsiTheme="majorBidi"/>
          <w:noProof/>
        </w:rPr>
        <w:t xml:space="preserve"> s </w:t>
      </w:r>
      <w:r w:rsidRPr="001E2023">
        <w:rPr>
          <w:rFonts w:asciiTheme="majorBidi" w:hAnsiTheme="majorBidi"/>
          <w:noProof/>
        </w:rPr>
        <w:t>informáciami na určenie pravidiel GloBE (druhý pilier)], OECD Publishing, Paríž, 2023, https://doi.org/10.1787/91a49ec3-en.“</w:t>
      </w:r>
    </w:p>
    <w:p w14:paraId="76811A3F" w14:textId="77777777" w:rsidR="00D72F24" w:rsidRPr="001E2023" w:rsidRDefault="001E2023" w:rsidP="001E2023">
      <w:pPr>
        <w:pStyle w:val="Point0"/>
        <w:rPr>
          <w:noProof/>
        </w:rPr>
      </w:pPr>
      <w:r>
        <w:rPr>
          <w:noProof/>
        </w:rPr>
        <w:t>8.</w:t>
      </w:r>
      <w:r>
        <w:rPr>
          <w:noProof/>
        </w:rPr>
        <w:tab/>
      </w:r>
      <w:r w:rsidR="00BE7AE8" w:rsidRPr="001E2023">
        <w:rPr>
          <w:noProof/>
        </w:rPr>
        <w:t>V článku 22 sa odseky 3</w:t>
      </w:r>
      <w:r>
        <w:rPr>
          <w:noProof/>
        </w:rPr>
        <w:t xml:space="preserve"> a </w:t>
      </w:r>
      <w:r w:rsidR="00BE7AE8" w:rsidRPr="001E2023">
        <w:rPr>
          <w:noProof/>
        </w:rPr>
        <w:t>4 nahrádzajú takto:</w:t>
      </w:r>
    </w:p>
    <w:p w14:paraId="51D8C724" w14:textId="77777777" w:rsidR="00D72F24" w:rsidRPr="001E2023" w:rsidRDefault="00D72F24" w:rsidP="00D72F24">
      <w:pPr>
        <w:pStyle w:val="Point1"/>
        <w:rPr>
          <w:noProof/>
        </w:rPr>
      </w:pPr>
      <w:r w:rsidRPr="001E2023">
        <w:rPr>
          <w:noProof/>
        </w:rPr>
        <w:t>„3.</w:t>
      </w:r>
      <w:r w:rsidRPr="001E2023">
        <w:rPr>
          <w:noProof/>
        </w:rPr>
        <w:tab/>
        <w:t>Členské štáty uchovávajú záznamy</w:t>
      </w:r>
      <w:r w:rsidR="001E2023">
        <w:rPr>
          <w:noProof/>
        </w:rPr>
        <w:t xml:space="preserve"> o </w:t>
      </w:r>
      <w:r w:rsidRPr="001E2023">
        <w:rPr>
          <w:noProof/>
        </w:rPr>
        <w:t>informáciách prijatých prostredníctvom automatickej výmeny informácií podľa článkov 8 až 8ae len tak dlho, ako je potrebné na splnenie účelov tejto smernice, ale</w:t>
      </w:r>
      <w:r w:rsidR="001E2023">
        <w:rPr>
          <w:noProof/>
        </w:rPr>
        <w:t xml:space="preserve"> v </w:t>
      </w:r>
      <w:r w:rsidRPr="001E2023">
        <w:rPr>
          <w:noProof/>
        </w:rPr>
        <w:t>žiadnom prípade nie kratšie ako päť rokov od dátumu ich prijatia.</w:t>
      </w:r>
    </w:p>
    <w:p w14:paraId="045C8B6B" w14:textId="77777777" w:rsidR="00D72F24" w:rsidRPr="001E2023" w:rsidRDefault="00D72F24" w:rsidP="6B795065">
      <w:pPr>
        <w:pStyle w:val="Point1"/>
        <w:rPr>
          <w:rFonts w:asciiTheme="majorBidi" w:hAnsiTheme="majorBidi" w:cstheme="majorBidi"/>
          <w:noProof/>
        </w:rPr>
      </w:pPr>
      <w:r w:rsidRPr="001E2023">
        <w:rPr>
          <w:rFonts w:asciiTheme="majorBidi" w:hAnsiTheme="majorBidi"/>
          <w:noProof/>
        </w:rPr>
        <w:t>4.</w:t>
      </w:r>
      <w:r w:rsidRPr="001E2023">
        <w:rPr>
          <w:noProof/>
        </w:rPr>
        <w:tab/>
      </w:r>
      <w:r w:rsidRPr="001E2023">
        <w:rPr>
          <w:rFonts w:asciiTheme="majorBidi" w:hAnsiTheme="majorBidi"/>
          <w:noProof/>
        </w:rPr>
        <w:t>Členské štáty vyvinú úsilie</w:t>
      </w:r>
      <w:r w:rsidR="001E2023">
        <w:rPr>
          <w:rFonts w:asciiTheme="majorBidi" w:hAnsiTheme="majorBidi"/>
          <w:noProof/>
        </w:rPr>
        <w:t xml:space="preserve"> s </w:t>
      </w:r>
      <w:r w:rsidRPr="001E2023">
        <w:rPr>
          <w:rFonts w:asciiTheme="majorBidi" w:hAnsiTheme="majorBidi"/>
          <w:noProof/>
        </w:rPr>
        <w:t>cieľom zabezpečiť, aby oznamujúci subjekt mohol elektronickými prostriedkami získať potvrdenie platnosti informácií</w:t>
      </w:r>
      <w:r w:rsidR="001E2023">
        <w:rPr>
          <w:rFonts w:asciiTheme="majorBidi" w:hAnsiTheme="majorBidi"/>
          <w:noProof/>
        </w:rPr>
        <w:t xml:space="preserve"> o </w:t>
      </w:r>
      <w:r w:rsidRPr="001E2023">
        <w:rPr>
          <w:rFonts w:asciiTheme="majorBidi" w:hAnsiTheme="majorBidi"/>
          <w:noProof/>
        </w:rPr>
        <w:t xml:space="preserve">DIČ ktoréhokoľvek daňovníka podliehajúceho výmene informácií podľa </w:t>
      </w:r>
      <w:r w:rsidRPr="001E2023">
        <w:rPr>
          <w:rFonts w:asciiTheme="majorBidi" w:hAnsiTheme="majorBidi"/>
          <w:noProof/>
        </w:rPr>
        <w:lastRenderedPageBreak/>
        <w:t>článkov 8 až 8ae. Potvrdenie informácií</w:t>
      </w:r>
      <w:r w:rsidR="001E2023">
        <w:rPr>
          <w:rFonts w:asciiTheme="majorBidi" w:hAnsiTheme="majorBidi"/>
          <w:noProof/>
        </w:rPr>
        <w:t xml:space="preserve"> o </w:t>
      </w:r>
      <w:r w:rsidRPr="001E2023">
        <w:rPr>
          <w:rFonts w:asciiTheme="majorBidi" w:hAnsiTheme="majorBidi"/>
          <w:noProof/>
        </w:rPr>
        <w:t>DIČ možno požadovať len na účely overenia správnosti údajov uvedených</w:t>
      </w:r>
      <w:r w:rsidR="001E2023">
        <w:rPr>
          <w:rFonts w:asciiTheme="majorBidi" w:hAnsiTheme="majorBidi"/>
          <w:noProof/>
        </w:rPr>
        <w:t xml:space="preserve"> v </w:t>
      </w:r>
      <w:r w:rsidRPr="001E2023">
        <w:rPr>
          <w:rFonts w:asciiTheme="majorBidi" w:hAnsiTheme="majorBidi"/>
          <w:noProof/>
        </w:rPr>
        <w:t>článku 8 ods. 1, článku 8 ods. 3a, článku 8a ods. 6, článku 8aa ods. 3, článku 8ab ods. 14, článku 8ac ods. 2, článku 8ad ods. 3</w:t>
      </w:r>
      <w:r w:rsidR="001E2023">
        <w:rPr>
          <w:rFonts w:asciiTheme="majorBidi" w:hAnsiTheme="majorBidi"/>
          <w:noProof/>
        </w:rPr>
        <w:t xml:space="preserve"> a </w:t>
      </w:r>
      <w:r w:rsidRPr="001E2023">
        <w:rPr>
          <w:rFonts w:asciiTheme="majorBidi" w:hAnsiTheme="majorBidi"/>
          <w:noProof/>
        </w:rPr>
        <w:t>článku 8ae ods. 2.“</w:t>
      </w:r>
    </w:p>
    <w:p w14:paraId="6D5D4B74" w14:textId="77777777" w:rsidR="00CB7FF8" w:rsidRPr="001E2023" w:rsidRDefault="001E2023" w:rsidP="001E2023">
      <w:pPr>
        <w:pStyle w:val="Point0"/>
        <w:rPr>
          <w:noProof/>
        </w:rPr>
      </w:pPr>
      <w:r>
        <w:rPr>
          <w:noProof/>
        </w:rPr>
        <w:t>9.</w:t>
      </w:r>
      <w:r>
        <w:rPr>
          <w:noProof/>
        </w:rPr>
        <w:tab/>
      </w:r>
      <w:r w:rsidR="00CB7FF8" w:rsidRPr="001E2023">
        <w:rPr>
          <w:noProof/>
        </w:rPr>
        <w:t>Článok 25a sa nahrádza takto:</w:t>
      </w:r>
    </w:p>
    <w:p w14:paraId="2F249B33" w14:textId="77777777" w:rsidR="00CB7FF8" w:rsidRPr="001E2023" w:rsidRDefault="00CB7FF8" w:rsidP="00567429">
      <w:pPr>
        <w:pStyle w:val="Text1"/>
        <w:jc w:val="center"/>
        <w:rPr>
          <w:i/>
          <w:iCs/>
          <w:noProof/>
        </w:rPr>
      </w:pPr>
      <w:r w:rsidRPr="001E2023">
        <w:rPr>
          <w:i/>
          <w:iCs/>
          <w:noProof/>
        </w:rPr>
        <w:t>„Článok 25a</w:t>
      </w:r>
      <w:r w:rsidRPr="001E2023">
        <w:rPr>
          <w:i/>
          <w:noProof/>
        </w:rPr>
        <w:br/>
        <w:t>Sankcie</w:t>
      </w:r>
    </w:p>
    <w:p w14:paraId="2A62C952" w14:textId="77777777" w:rsidR="00CB7FF8" w:rsidRPr="001E2023" w:rsidRDefault="00CB7FF8" w:rsidP="07940B35">
      <w:pPr>
        <w:pStyle w:val="Text1"/>
        <w:rPr>
          <w:rFonts w:asciiTheme="majorBidi" w:hAnsiTheme="majorBidi" w:cstheme="majorBidi"/>
          <w:noProof/>
        </w:rPr>
      </w:pPr>
      <w:r w:rsidRPr="001E2023">
        <w:rPr>
          <w:rFonts w:asciiTheme="majorBidi" w:hAnsiTheme="majorBidi"/>
          <w:noProof/>
        </w:rPr>
        <w:t>Členské štáty stanovia pravidlá týkajúce sa sankcií uplatniteľných za porušenia vnútroštátnych ustanovení prijatých podľa tejto smernice</w:t>
      </w:r>
      <w:r w:rsidR="001E2023">
        <w:rPr>
          <w:rFonts w:asciiTheme="majorBidi" w:hAnsiTheme="majorBidi"/>
          <w:noProof/>
        </w:rPr>
        <w:t xml:space="preserve"> a v </w:t>
      </w:r>
      <w:r w:rsidRPr="001E2023">
        <w:rPr>
          <w:rFonts w:asciiTheme="majorBidi" w:hAnsiTheme="majorBidi"/>
          <w:noProof/>
        </w:rPr>
        <w:t>súvislosti</w:t>
      </w:r>
      <w:r w:rsidR="001E2023">
        <w:rPr>
          <w:rFonts w:asciiTheme="majorBidi" w:hAnsiTheme="majorBidi"/>
          <w:noProof/>
        </w:rPr>
        <w:t xml:space="preserve"> s </w:t>
      </w:r>
      <w:r w:rsidRPr="001E2023">
        <w:rPr>
          <w:rFonts w:asciiTheme="majorBidi" w:hAnsiTheme="majorBidi"/>
          <w:noProof/>
        </w:rPr>
        <w:t>článkami 8aa až 8ae</w:t>
      </w:r>
      <w:r w:rsidR="001E2023">
        <w:rPr>
          <w:rFonts w:asciiTheme="majorBidi" w:hAnsiTheme="majorBidi"/>
          <w:noProof/>
        </w:rPr>
        <w:t xml:space="preserve"> a </w:t>
      </w:r>
      <w:r w:rsidRPr="001E2023">
        <w:rPr>
          <w:rFonts w:asciiTheme="majorBidi" w:hAnsiTheme="majorBidi"/>
          <w:noProof/>
        </w:rPr>
        <w:t>prijmú všetky potrebné opatrenia na to, aby zabezpečili ich vykonávanie. Stanovené sankcie musia byť účinné, primerané</w:t>
      </w:r>
      <w:r w:rsidR="001E2023">
        <w:rPr>
          <w:rFonts w:asciiTheme="majorBidi" w:hAnsiTheme="majorBidi"/>
          <w:noProof/>
        </w:rPr>
        <w:t xml:space="preserve"> a </w:t>
      </w:r>
      <w:r w:rsidRPr="001E2023">
        <w:rPr>
          <w:rFonts w:asciiTheme="majorBidi" w:hAnsiTheme="majorBidi"/>
          <w:noProof/>
        </w:rPr>
        <w:t>odrádzajúce.“</w:t>
      </w:r>
    </w:p>
    <w:p w14:paraId="2AD227CE" w14:textId="77777777" w:rsidR="000D0C5A" w:rsidRPr="001E2023" w:rsidRDefault="001E2023" w:rsidP="001E2023">
      <w:pPr>
        <w:pStyle w:val="Point0"/>
        <w:rPr>
          <w:noProof/>
        </w:rPr>
      </w:pPr>
      <w:r>
        <w:rPr>
          <w:noProof/>
        </w:rPr>
        <w:t>10.</w:t>
      </w:r>
      <w:r>
        <w:rPr>
          <w:noProof/>
        </w:rPr>
        <w:tab/>
      </w:r>
      <w:r w:rsidR="000D0C5A" w:rsidRPr="001E2023">
        <w:rPr>
          <w:noProof/>
        </w:rPr>
        <w:t>Dopĺňa sa tento článok:</w:t>
      </w:r>
    </w:p>
    <w:p w14:paraId="5B4DDB95" w14:textId="77777777" w:rsidR="000C5FD7" w:rsidRPr="001E2023" w:rsidRDefault="000D0C5A" w:rsidP="00567429">
      <w:pPr>
        <w:pStyle w:val="Text1"/>
        <w:jc w:val="center"/>
        <w:rPr>
          <w:i/>
          <w:noProof/>
        </w:rPr>
      </w:pPr>
      <w:r w:rsidRPr="001E2023">
        <w:rPr>
          <w:i/>
          <w:iCs/>
          <w:noProof/>
        </w:rPr>
        <w:t>„Článok 26a</w:t>
      </w:r>
      <w:r w:rsidRPr="001E2023">
        <w:rPr>
          <w:noProof/>
        </w:rPr>
        <w:br/>
      </w:r>
      <w:r w:rsidRPr="001E2023">
        <w:rPr>
          <w:i/>
          <w:noProof/>
        </w:rPr>
        <w:t>Vykonávanie delegovania právomoci</w:t>
      </w:r>
    </w:p>
    <w:p w14:paraId="54EDC37C" w14:textId="77777777" w:rsidR="000C5FD7" w:rsidRPr="001E2023" w:rsidRDefault="00C149E3" w:rsidP="00C149E3">
      <w:pPr>
        <w:pStyle w:val="ManualNumPar1"/>
        <w:rPr>
          <w:noProof/>
        </w:rPr>
      </w:pPr>
      <w:r w:rsidRPr="00C149E3">
        <w:rPr>
          <w:noProof/>
        </w:rPr>
        <w:t>1.</w:t>
      </w:r>
      <w:r w:rsidRPr="00C149E3">
        <w:rPr>
          <w:noProof/>
        </w:rPr>
        <w:tab/>
      </w:r>
      <w:r w:rsidR="000C5FD7" w:rsidRPr="001E2023">
        <w:rPr>
          <w:noProof/>
        </w:rPr>
        <w:t>Právomoc prijať delegovaný akt uvedený</w:t>
      </w:r>
      <w:r w:rsidR="001E2023">
        <w:rPr>
          <w:noProof/>
        </w:rPr>
        <w:t xml:space="preserve"> v </w:t>
      </w:r>
      <w:r w:rsidR="000C5FD7" w:rsidRPr="001E2023">
        <w:rPr>
          <w:noProof/>
        </w:rPr>
        <w:t>článku 21 ods. 9 sa Komisii udeľuje na dobu neurčitú od dátumu nadobudnutia účinnosti tejto smernice za podmienok stanovených</w:t>
      </w:r>
      <w:r w:rsidR="001E2023">
        <w:rPr>
          <w:noProof/>
        </w:rPr>
        <w:t xml:space="preserve"> v </w:t>
      </w:r>
      <w:r w:rsidR="000C5FD7" w:rsidRPr="001E2023">
        <w:rPr>
          <w:noProof/>
        </w:rPr>
        <w:t>tomto článku.</w:t>
      </w:r>
    </w:p>
    <w:p w14:paraId="40715C84" w14:textId="77777777" w:rsidR="00E20097" w:rsidRPr="001E2023" w:rsidRDefault="00C149E3" w:rsidP="00C149E3">
      <w:pPr>
        <w:pStyle w:val="ManualNumPar1"/>
        <w:rPr>
          <w:noProof/>
        </w:rPr>
      </w:pPr>
      <w:r w:rsidRPr="00C149E3">
        <w:rPr>
          <w:noProof/>
        </w:rPr>
        <w:t>2.</w:t>
      </w:r>
      <w:r w:rsidRPr="00C149E3">
        <w:rPr>
          <w:noProof/>
        </w:rPr>
        <w:tab/>
      </w:r>
      <w:r w:rsidR="00E20097" w:rsidRPr="001E2023">
        <w:rPr>
          <w:noProof/>
        </w:rPr>
        <w:t>Právomoc prijímať delegované akty uvedené</w:t>
      </w:r>
      <w:r w:rsidR="001E2023">
        <w:rPr>
          <w:noProof/>
        </w:rPr>
        <w:t xml:space="preserve"> v </w:t>
      </w:r>
      <w:r w:rsidR="00E20097" w:rsidRPr="001E2023">
        <w:rPr>
          <w:noProof/>
        </w:rPr>
        <w:t>článku 21 ods. 9 sa Komisii udeľuje na dobu neurčitú od dátumu nadobudnutia účinnosti tejto smernice.</w:t>
      </w:r>
    </w:p>
    <w:p w14:paraId="57F70014" w14:textId="77777777" w:rsidR="000C5FD7" w:rsidRPr="001E2023" w:rsidRDefault="00C149E3" w:rsidP="00C149E3">
      <w:pPr>
        <w:pStyle w:val="ManualNumPar1"/>
        <w:rPr>
          <w:noProof/>
        </w:rPr>
      </w:pPr>
      <w:r w:rsidRPr="00C149E3">
        <w:rPr>
          <w:noProof/>
        </w:rPr>
        <w:t>3.</w:t>
      </w:r>
      <w:r w:rsidRPr="00C149E3">
        <w:rPr>
          <w:noProof/>
        </w:rPr>
        <w:tab/>
      </w:r>
      <w:r w:rsidR="000C5FD7" w:rsidRPr="001E2023">
        <w:rPr>
          <w:noProof/>
        </w:rPr>
        <w:t>Delegovanie právomoci uvedené</w:t>
      </w:r>
      <w:r w:rsidR="001E2023" w:rsidRPr="001E2023">
        <w:rPr>
          <w:noProof/>
        </w:rPr>
        <w:t xml:space="preserve"> v </w:t>
      </w:r>
      <w:r w:rsidR="000C5FD7" w:rsidRPr="001E2023">
        <w:rPr>
          <w:noProof/>
        </w:rPr>
        <w:t>článku 21 ods. 9 môže Rada kedykoľvek odvolať. Rozhodnutím</w:t>
      </w:r>
      <w:r w:rsidR="001E2023" w:rsidRPr="001E2023">
        <w:rPr>
          <w:noProof/>
        </w:rPr>
        <w:t xml:space="preserve"> o </w:t>
      </w:r>
      <w:r w:rsidR="000C5FD7" w:rsidRPr="001E2023">
        <w:rPr>
          <w:noProof/>
        </w:rPr>
        <w:t>odvolaní sa ukončuje delegovanie právomoci, ktoré sa</w:t>
      </w:r>
      <w:r w:rsidR="001E2023" w:rsidRPr="001E2023">
        <w:rPr>
          <w:noProof/>
        </w:rPr>
        <w:t xml:space="preserve"> v </w:t>
      </w:r>
      <w:r w:rsidR="000C5FD7" w:rsidRPr="001E2023">
        <w:rPr>
          <w:noProof/>
        </w:rPr>
        <w:t>ňom uvádza. Rozhodnutie nadobúda účinnosť dňom nasledujúcim po jeho uverejnení</w:t>
      </w:r>
      <w:r w:rsidR="001E2023" w:rsidRPr="001E2023">
        <w:rPr>
          <w:noProof/>
        </w:rPr>
        <w:t xml:space="preserve"> v </w:t>
      </w:r>
      <w:r w:rsidR="000C5FD7" w:rsidRPr="001E2023">
        <w:rPr>
          <w:i/>
          <w:noProof/>
        </w:rPr>
        <w:t>Úradnom vestníku Európskej únie</w:t>
      </w:r>
      <w:r w:rsidR="000C5FD7" w:rsidRPr="001E2023">
        <w:rPr>
          <w:noProof/>
        </w:rPr>
        <w:t xml:space="preserve"> alebo</w:t>
      </w:r>
      <w:r w:rsidR="001E2023" w:rsidRPr="001E2023">
        <w:rPr>
          <w:noProof/>
        </w:rPr>
        <w:t xml:space="preserve"> k </w:t>
      </w:r>
      <w:r w:rsidR="000C5FD7" w:rsidRPr="001E2023">
        <w:rPr>
          <w:noProof/>
        </w:rPr>
        <w:t>neskoršiemu dátumu, ktorý je</w:t>
      </w:r>
      <w:r w:rsidR="001E2023" w:rsidRPr="001E2023">
        <w:rPr>
          <w:noProof/>
        </w:rPr>
        <w:t xml:space="preserve"> v </w:t>
      </w:r>
      <w:r w:rsidR="000C5FD7" w:rsidRPr="001E2023">
        <w:rPr>
          <w:noProof/>
        </w:rPr>
        <w:t>ňom určený. Nie je ním dotknutá platnosť delegovaných aktov, ktoré už nadobudli účinnosť.</w:t>
      </w:r>
    </w:p>
    <w:p w14:paraId="39CAEE16" w14:textId="77777777" w:rsidR="000C5FD7" w:rsidRPr="001E2023" w:rsidRDefault="00C149E3" w:rsidP="00C149E3">
      <w:pPr>
        <w:pStyle w:val="ManualNumPar1"/>
        <w:rPr>
          <w:noProof/>
        </w:rPr>
      </w:pPr>
      <w:r w:rsidRPr="00C149E3">
        <w:rPr>
          <w:noProof/>
        </w:rPr>
        <w:t>4.</w:t>
      </w:r>
      <w:r w:rsidRPr="00C149E3">
        <w:rPr>
          <w:noProof/>
        </w:rPr>
        <w:tab/>
      </w:r>
      <w:r w:rsidR="000C5FD7" w:rsidRPr="001E2023">
        <w:rPr>
          <w:noProof/>
        </w:rPr>
        <w:t>Komisia pred prijatím delegovaného aktu konzultuje</w:t>
      </w:r>
      <w:r w:rsidR="001E2023">
        <w:rPr>
          <w:noProof/>
        </w:rPr>
        <w:t xml:space="preserve"> s </w:t>
      </w:r>
      <w:r w:rsidR="000C5FD7" w:rsidRPr="001E2023">
        <w:rPr>
          <w:noProof/>
        </w:rPr>
        <w:t>expertmi určenými jednotlivými členskými štátmi</w:t>
      </w:r>
      <w:r w:rsidR="001E2023">
        <w:rPr>
          <w:noProof/>
        </w:rPr>
        <w:t xml:space="preserve"> v </w:t>
      </w:r>
      <w:r w:rsidR="000C5FD7" w:rsidRPr="001E2023">
        <w:rPr>
          <w:noProof/>
        </w:rPr>
        <w:t>súlade so zásadami stanovenými</w:t>
      </w:r>
      <w:r w:rsidR="001E2023">
        <w:rPr>
          <w:noProof/>
        </w:rPr>
        <w:t xml:space="preserve"> v </w:t>
      </w:r>
      <w:r w:rsidR="000C5FD7" w:rsidRPr="001E2023">
        <w:rPr>
          <w:noProof/>
        </w:rPr>
        <w:t>Medziinštitucionálnej dohode</w:t>
      </w:r>
      <w:r w:rsidR="001E2023">
        <w:rPr>
          <w:noProof/>
        </w:rPr>
        <w:t xml:space="preserve"> o </w:t>
      </w:r>
      <w:r w:rsidR="000C5FD7" w:rsidRPr="001E2023">
        <w:rPr>
          <w:noProof/>
        </w:rPr>
        <w:t>lepšej tvorbe práva</w:t>
      </w:r>
      <w:r w:rsidR="001E2023">
        <w:rPr>
          <w:noProof/>
        </w:rPr>
        <w:t xml:space="preserve"> z </w:t>
      </w:r>
      <w:r w:rsidR="000C5FD7" w:rsidRPr="001E2023">
        <w:rPr>
          <w:noProof/>
        </w:rPr>
        <w:t>13</w:t>
      </w:r>
      <w:r w:rsidR="001E2023">
        <w:rPr>
          <w:noProof/>
        </w:rPr>
        <w:t>. apríla</w:t>
      </w:r>
      <w:r w:rsidR="000C5FD7" w:rsidRPr="001E2023">
        <w:rPr>
          <w:noProof/>
        </w:rPr>
        <w:t xml:space="preserve"> 2016.</w:t>
      </w:r>
    </w:p>
    <w:p w14:paraId="391C8E45" w14:textId="77777777" w:rsidR="000C5FD7" w:rsidRPr="001E2023" w:rsidRDefault="00C149E3" w:rsidP="00C149E3">
      <w:pPr>
        <w:pStyle w:val="ManualNumPar1"/>
        <w:rPr>
          <w:noProof/>
        </w:rPr>
      </w:pPr>
      <w:r w:rsidRPr="00C149E3">
        <w:rPr>
          <w:noProof/>
        </w:rPr>
        <w:t>5.</w:t>
      </w:r>
      <w:r w:rsidRPr="00C149E3">
        <w:rPr>
          <w:noProof/>
        </w:rPr>
        <w:tab/>
      </w:r>
      <w:r w:rsidR="000C5FD7" w:rsidRPr="001E2023">
        <w:rPr>
          <w:noProof/>
        </w:rPr>
        <w:t>Komisia oznamuje delegovaný akt hneď po jeho prijatí Rade.</w:t>
      </w:r>
    </w:p>
    <w:p w14:paraId="178AC376" w14:textId="77777777" w:rsidR="000D0C5A" w:rsidRPr="001E2023" w:rsidRDefault="00C149E3" w:rsidP="00C149E3">
      <w:pPr>
        <w:pStyle w:val="ManualNumPar1"/>
        <w:rPr>
          <w:noProof/>
        </w:rPr>
      </w:pPr>
      <w:r w:rsidRPr="00C149E3">
        <w:rPr>
          <w:noProof/>
        </w:rPr>
        <w:t>6.</w:t>
      </w:r>
      <w:r w:rsidRPr="00C149E3">
        <w:rPr>
          <w:noProof/>
        </w:rPr>
        <w:tab/>
      </w:r>
      <w:r w:rsidR="00E20097" w:rsidRPr="001E2023">
        <w:rPr>
          <w:noProof/>
        </w:rPr>
        <w:t>Delegovaný akt prijatý podľa článku 21 ods. 9 nadobudne účinnosť, len ak Rada voči nemu nevznesie námietku</w:t>
      </w:r>
      <w:r w:rsidR="001E2023" w:rsidRPr="001E2023">
        <w:rPr>
          <w:noProof/>
        </w:rPr>
        <w:t xml:space="preserve"> v </w:t>
      </w:r>
      <w:r w:rsidR="00E20097" w:rsidRPr="001E2023">
        <w:rPr>
          <w:noProof/>
        </w:rPr>
        <w:t>lehote dvoch mesiacov odo dňa oznámenia uvedeného aktu Rade alebo ak pred uplynutím uvedenej lehoty Rada informovala Komisiu</w:t>
      </w:r>
      <w:r w:rsidR="001E2023" w:rsidRPr="001E2023">
        <w:rPr>
          <w:noProof/>
        </w:rPr>
        <w:t xml:space="preserve"> o </w:t>
      </w:r>
      <w:r w:rsidR="00E20097" w:rsidRPr="001E2023">
        <w:rPr>
          <w:noProof/>
        </w:rPr>
        <w:t>svojom rozhodnutí nevzniesť námietku. Na podnet Rady sa táto lehota predĺži</w:t>
      </w:r>
      <w:r w:rsidR="001E2023" w:rsidRPr="001E2023">
        <w:rPr>
          <w:noProof/>
        </w:rPr>
        <w:t xml:space="preserve"> o </w:t>
      </w:r>
      <w:r w:rsidR="00E20097" w:rsidRPr="001E2023">
        <w:rPr>
          <w:noProof/>
        </w:rPr>
        <w:t>dva mesiace.“</w:t>
      </w:r>
    </w:p>
    <w:p w14:paraId="417949E7" w14:textId="77777777" w:rsidR="000D0C5A" w:rsidRPr="001E2023" w:rsidRDefault="001E2023" w:rsidP="001E2023">
      <w:pPr>
        <w:pStyle w:val="Point0"/>
        <w:rPr>
          <w:noProof/>
        </w:rPr>
      </w:pPr>
      <w:r>
        <w:rPr>
          <w:noProof/>
        </w:rPr>
        <w:t>11.</w:t>
      </w:r>
      <w:r>
        <w:rPr>
          <w:noProof/>
        </w:rPr>
        <w:tab/>
      </w:r>
      <w:r w:rsidR="000D0C5A" w:rsidRPr="001E2023">
        <w:rPr>
          <w:noProof/>
        </w:rPr>
        <w:t>Dopĺňa sa tento článok:</w:t>
      </w:r>
    </w:p>
    <w:p w14:paraId="6514FA0F" w14:textId="77777777" w:rsidR="000D0C5A" w:rsidRPr="001E2023" w:rsidRDefault="000D0C5A" w:rsidP="00567429">
      <w:pPr>
        <w:pStyle w:val="Text1"/>
        <w:jc w:val="center"/>
        <w:rPr>
          <w:i/>
          <w:noProof/>
          <w:highlight w:val="yellow"/>
        </w:rPr>
      </w:pPr>
      <w:r w:rsidRPr="001E2023">
        <w:rPr>
          <w:i/>
          <w:iCs/>
          <w:noProof/>
        </w:rPr>
        <w:t>„Článok 27c</w:t>
      </w:r>
      <w:r w:rsidRPr="001E2023">
        <w:rPr>
          <w:noProof/>
        </w:rPr>
        <w:br/>
      </w:r>
      <w:r w:rsidRPr="001E2023">
        <w:rPr>
          <w:i/>
          <w:noProof/>
        </w:rPr>
        <w:t>Prvé vykazované účtovné obdobie</w:t>
      </w:r>
      <w:r w:rsidR="001E2023">
        <w:rPr>
          <w:i/>
          <w:noProof/>
        </w:rPr>
        <w:t xml:space="preserve"> a </w:t>
      </w:r>
      <w:r w:rsidRPr="001E2023">
        <w:rPr>
          <w:i/>
          <w:noProof/>
        </w:rPr>
        <w:t>prvá výmena informácií uvedených</w:t>
      </w:r>
      <w:r w:rsidR="001E2023">
        <w:rPr>
          <w:i/>
          <w:noProof/>
        </w:rPr>
        <w:t xml:space="preserve"> v </w:t>
      </w:r>
      <w:r w:rsidRPr="001E2023">
        <w:rPr>
          <w:i/>
          <w:noProof/>
        </w:rPr>
        <w:t>článku 8ae</w:t>
      </w:r>
    </w:p>
    <w:p w14:paraId="70C9F4CD" w14:textId="77777777" w:rsidR="00E20097" w:rsidRPr="001E2023" w:rsidRDefault="00C149E3" w:rsidP="00C149E3">
      <w:pPr>
        <w:pStyle w:val="ManualNumPar1"/>
        <w:rPr>
          <w:noProof/>
        </w:rPr>
      </w:pPr>
      <w:r w:rsidRPr="00C149E3">
        <w:rPr>
          <w:noProof/>
        </w:rPr>
        <w:t>1.</w:t>
      </w:r>
      <w:r w:rsidRPr="00C149E3">
        <w:rPr>
          <w:noProof/>
        </w:rPr>
        <w:tab/>
      </w:r>
      <w:r w:rsidR="00E20097" w:rsidRPr="001E2023">
        <w:rPr>
          <w:noProof/>
        </w:rPr>
        <w:t>Prvé vykazované účtovné obdobie, za ktoré sa informácie oznamujú, je príslušný kalendárny rok alebo iné primerané vykazované obdobie od 1</w:t>
      </w:r>
      <w:r w:rsidR="001E2023">
        <w:rPr>
          <w:noProof/>
        </w:rPr>
        <w:t>. januára</w:t>
      </w:r>
      <w:r w:rsidR="00E20097" w:rsidRPr="001E2023">
        <w:rPr>
          <w:noProof/>
        </w:rPr>
        <w:t xml:space="preserve"> 2024.</w:t>
      </w:r>
    </w:p>
    <w:p w14:paraId="0EC15722" w14:textId="77777777" w:rsidR="001E2023" w:rsidRPr="001E2023" w:rsidRDefault="00C149E3" w:rsidP="00C149E3">
      <w:pPr>
        <w:pStyle w:val="ManualNumPar1"/>
        <w:rPr>
          <w:noProof/>
        </w:rPr>
      </w:pPr>
      <w:r w:rsidRPr="00C149E3">
        <w:rPr>
          <w:noProof/>
        </w:rPr>
        <w:t>2.</w:t>
      </w:r>
      <w:r w:rsidRPr="00C149E3">
        <w:rPr>
          <w:noProof/>
        </w:rPr>
        <w:tab/>
      </w:r>
      <w:r w:rsidR="00E20097" w:rsidRPr="001E2023">
        <w:rPr>
          <w:noProof/>
        </w:rPr>
        <w:t>Pre členské štáty, ktoré sa rozhodli neuplatňovať pravidlo zahrnutia príjmov</w:t>
      </w:r>
      <w:r w:rsidR="001E2023">
        <w:rPr>
          <w:noProof/>
        </w:rPr>
        <w:t xml:space="preserve"> a </w:t>
      </w:r>
      <w:r w:rsidR="00E20097" w:rsidRPr="001E2023">
        <w:rPr>
          <w:noProof/>
        </w:rPr>
        <w:t>pravidlo pre nedostatočne zdanené zisky podľa článku 50 ods. 1 smernice Rady (EÚ) 2022/2523, je prvým vykazovaným účtovným obdobím prvé účtovné obdobie nasledujúce po skončení obdobia uplatňovania tohto rozhodnutia</w:t>
      </w:r>
      <w:r w:rsidR="001E2023" w:rsidRPr="001E2023">
        <w:rPr>
          <w:noProof/>
        </w:rPr>
        <w:t>.</w:t>
      </w:r>
    </w:p>
    <w:p w14:paraId="2A38742B" w14:textId="77777777" w:rsidR="0067034F" w:rsidRPr="001E2023" w:rsidRDefault="00C149E3" w:rsidP="00C149E3">
      <w:pPr>
        <w:pStyle w:val="ManualNumPar1"/>
        <w:rPr>
          <w:noProof/>
        </w:rPr>
      </w:pPr>
      <w:r w:rsidRPr="00C149E3">
        <w:rPr>
          <w:noProof/>
        </w:rPr>
        <w:lastRenderedPageBreak/>
        <w:t>3.</w:t>
      </w:r>
      <w:r w:rsidRPr="00C149E3">
        <w:rPr>
          <w:noProof/>
        </w:rPr>
        <w:tab/>
      </w:r>
      <w:r w:rsidR="00E20097" w:rsidRPr="001E2023">
        <w:rPr>
          <w:noProof/>
        </w:rPr>
        <w:t>Pri prvej výmene informácií uvedených</w:t>
      </w:r>
      <w:r w:rsidR="001E2023">
        <w:rPr>
          <w:noProof/>
        </w:rPr>
        <w:t xml:space="preserve"> v </w:t>
      </w:r>
      <w:r w:rsidR="00E20097" w:rsidRPr="001E2023">
        <w:rPr>
          <w:noProof/>
        </w:rPr>
        <w:t>článku 8ae si príslušný orgán členského štátu môže tieto informácie vymeniť najneskôr do šiestich mesiacov od lehôt stanovených</w:t>
      </w:r>
      <w:r w:rsidR="001E2023">
        <w:rPr>
          <w:noProof/>
        </w:rPr>
        <w:t xml:space="preserve"> v </w:t>
      </w:r>
      <w:r w:rsidR="00E20097" w:rsidRPr="001E2023">
        <w:rPr>
          <w:noProof/>
        </w:rPr>
        <w:t>uvedenom článku.“</w:t>
      </w:r>
    </w:p>
    <w:p w14:paraId="52CD4DAB" w14:textId="77777777" w:rsidR="001F37EC" w:rsidRPr="001E2023" w:rsidRDefault="001E2023" w:rsidP="001E2023">
      <w:pPr>
        <w:pStyle w:val="Point0"/>
        <w:rPr>
          <w:rFonts w:cstheme="majorBidi"/>
          <w:noProof/>
        </w:rPr>
      </w:pPr>
      <w:r>
        <w:rPr>
          <w:noProof/>
        </w:rPr>
        <w:t>12.</w:t>
      </w:r>
      <w:r>
        <w:rPr>
          <w:noProof/>
        </w:rPr>
        <w:tab/>
      </w:r>
      <w:r w:rsidR="001F37EC" w:rsidRPr="001E2023">
        <w:rPr>
          <w:noProof/>
        </w:rPr>
        <w:t>Text</w:t>
      </w:r>
      <w:r>
        <w:rPr>
          <w:noProof/>
        </w:rPr>
        <w:t xml:space="preserve"> v </w:t>
      </w:r>
      <w:r w:rsidR="001F37EC" w:rsidRPr="001E2023">
        <w:rPr>
          <w:noProof/>
        </w:rPr>
        <w:t>prílohe</w:t>
      </w:r>
      <w:r>
        <w:rPr>
          <w:noProof/>
        </w:rPr>
        <w:t xml:space="preserve"> k </w:t>
      </w:r>
      <w:r w:rsidR="001F37EC" w:rsidRPr="001E2023">
        <w:rPr>
          <w:noProof/>
        </w:rPr>
        <w:t>tejto smernici sa dopĺňa ako príloha VII.</w:t>
      </w:r>
    </w:p>
    <w:p w14:paraId="29296DDE" w14:textId="77777777" w:rsidR="00EF7953" w:rsidRPr="001E2023" w:rsidRDefault="00EF7953" w:rsidP="001E2023">
      <w:pPr>
        <w:pStyle w:val="Titrearticle"/>
        <w:keepNext w:val="0"/>
        <w:rPr>
          <w:noProof/>
        </w:rPr>
      </w:pPr>
      <w:r w:rsidRPr="001E2023">
        <w:rPr>
          <w:noProof/>
        </w:rPr>
        <w:t>Článok 2</w:t>
      </w:r>
    </w:p>
    <w:p w14:paraId="3568A1D6" w14:textId="77777777" w:rsidR="00EF7953" w:rsidRPr="001E2023" w:rsidRDefault="00C149E3" w:rsidP="00C149E3">
      <w:pPr>
        <w:pStyle w:val="ManualNumPar1"/>
        <w:rPr>
          <w:noProof/>
        </w:rPr>
      </w:pPr>
      <w:r w:rsidRPr="00C149E3">
        <w:rPr>
          <w:noProof/>
        </w:rPr>
        <w:t>1.</w:t>
      </w:r>
      <w:r w:rsidRPr="00C149E3">
        <w:rPr>
          <w:noProof/>
        </w:rPr>
        <w:tab/>
      </w:r>
      <w:r w:rsidR="00EF7953" w:rsidRPr="001E2023">
        <w:rPr>
          <w:noProof/>
        </w:rPr>
        <w:t>Členské štáty prijmú</w:t>
      </w:r>
      <w:r w:rsidR="001E2023">
        <w:rPr>
          <w:noProof/>
        </w:rPr>
        <w:t xml:space="preserve"> a </w:t>
      </w:r>
      <w:r w:rsidR="00EF7953" w:rsidRPr="001E2023">
        <w:rPr>
          <w:noProof/>
        </w:rPr>
        <w:t>uverejnia najneskôr do 31</w:t>
      </w:r>
      <w:r w:rsidR="001E2023">
        <w:rPr>
          <w:noProof/>
        </w:rPr>
        <w:t>. decembra</w:t>
      </w:r>
      <w:r w:rsidR="00EF7953" w:rsidRPr="001E2023">
        <w:rPr>
          <w:noProof/>
        </w:rPr>
        <w:t> 2025 zákony, iné právne predpisy</w:t>
      </w:r>
      <w:r w:rsidR="001E2023">
        <w:rPr>
          <w:noProof/>
        </w:rPr>
        <w:t xml:space="preserve"> a </w:t>
      </w:r>
      <w:r w:rsidR="00EF7953" w:rsidRPr="001E2023">
        <w:rPr>
          <w:noProof/>
        </w:rPr>
        <w:t>správne opatrenia potrebné na dosiahnutie súladu</w:t>
      </w:r>
      <w:r w:rsidR="001E2023">
        <w:rPr>
          <w:noProof/>
        </w:rPr>
        <w:t xml:space="preserve"> s </w:t>
      </w:r>
      <w:r w:rsidR="00EF7953" w:rsidRPr="001E2023">
        <w:rPr>
          <w:noProof/>
        </w:rPr>
        <w:t>touto smernicou.</w:t>
      </w:r>
    </w:p>
    <w:p w14:paraId="0A154D76" w14:textId="77777777" w:rsidR="00EF7953" w:rsidRPr="001E2023" w:rsidRDefault="00C149E3" w:rsidP="00C149E3">
      <w:pPr>
        <w:pStyle w:val="ManualNumPar1"/>
        <w:rPr>
          <w:noProof/>
        </w:rPr>
      </w:pPr>
      <w:r w:rsidRPr="00C149E3">
        <w:rPr>
          <w:noProof/>
        </w:rPr>
        <w:t>2.</w:t>
      </w:r>
      <w:r w:rsidRPr="00C149E3">
        <w:rPr>
          <w:noProof/>
        </w:rPr>
        <w:tab/>
      </w:r>
      <w:r w:rsidR="00EF7953" w:rsidRPr="001E2023">
        <w:rPr>
          <w:noProof/>
        </w:rPr>
        <w:t>Členské štáty uvedú priamo</w:t>
      </w:r>
      <w:r w:rsidR="001E2023">
        <w:rPr>
          <w:noProof/>
        </w:rPr>
        <w:t xml:space="preserve"> v </w:t>
      </w:r>
      <w:r w:rsidR="00EF7953" w:rsidRPr="001E2023">
        <w:rPr>
          <w:noProof/>
        </w:rPr>
        <w:t>prijatých ustanoveniach alebo pri ich úradnom uverejnení odkaz na túto smernicu. Podrobnosti</w:t>
      </w:r>
      <w:r w:rsidR="001E2023">
        <w:rPr>
          <w:noProof/>
        </w:rPr>
        <w:t xml:space="preserve"> o </w:t>
      </w:r>
      <w:r w:rsidR="00EF7953" w:rsidRPr="001E2023">
        <w:rPr>
          <w:noProof/>
        </w:rPr>
        <w:t>odkaze upravia členské štáty.</w:t>
      </w:r>
    </w:p>
    <w:p w14:paraId="6E495C9D" w14:textId="77777777" w:rsidR="00A41447" w:rsidRPr="001E2023" w:rsidRDefault="00C149E3" w:rsidP="00C149E3">
      <w:pPr>
        <w:pStyle w:val="ManualNumPar1"/>
        <w:rPr>
          <w:noProof/>
        </w:rPr>
      </w:pPr>
      <w:r w:rsidRPr="00C149E3">
        <w:rPr>
          <w:noProof/>
        </w:rPr>
        <w:t>3.</w:t>
      </w:r>
      <w:r w:rsidRPr="00C149E3">
        <w:rPr>
          <w:noProof/>
        </w:rPr>
        <w:tab/>
      </w:r>
      <w:r w:rsidR="005E6324" w:rsidRPr="001E2023">
        <w:rPr>
          <w:noProof/>
        </w:rPr>
        <w:t>Bez ohľadu na odsek 1 prvý pododsek členské štáty, ktoré sa rozhodli neuplatňovať pravidlo zahrnutia príjmov</w:t>
      </w:r>
      <w:r w:rsidR="001E2023">
        <w:rPr>
          <w:noProof/>
        </w:rPr>
        <w:t xml:space="preserve"> a </w:t>
      </w:r>
      <w:r w:rsidR="005E6324" w:rsidRPr="001E2023">
        <w:rPr>
          <w:noProof/>
        </w:rPr>
        <w:t>pravidlo pre nedostatočne zdanené zisky podľa článku 50 ods. 1 smernice Rady (EÚ) 2022/2523, prijmú</w:t>
      </w:r>
      <w:r w:rsidR="001E2023">
        <w:rPr>
          <w:noProof/>
        </w:rPr>
        <w:t xml:space="preserve"> a </w:t>
      </w:r>
      <w:r w:rsidR="005E6324" w:rsidRPr="001E2023">
        <w:rPr>
          <w:noProof/>
        </w:rPr>
        <w:t>uverejnia zákony, iné právne predpisy</w:t>
      </w:r>
      <w:r w:rsidR="001E2023">
        <w:rPr>
          <w:noProof/>
        </w:rPr>
        <w:t xml:space="preserve"> a </w:t>
      </w:r>
      <w:r w:rsidR="005E6324" w:rsidRPr="001E2023">
        <w:rPr>
          <w:noProof/>
        </w:rPr>
        <w:t>správne opatrenia potrebné na dosiahnutie súladu</w:t>
      </w:r>
      <w:r w:rsidR="001E2023">
        <w:rPr>
          <w:noProof/>
        </w:rPr>
        <w:t xml:space="preserve"> s </w:t>
      </w:r>
      <w:r w:rsidR="005E6324" w:rsidRPr="001E2023">
        <w:rPr>
          <w:noProof/>
        </w:rPr>
        <w:t>touto smernicou najneskôr deň pred skončením obdobia uplatňovania tohto rozhodnutia.</w:t>
      </w:r>
    </w:p>
    <w:p w14:paraId="0F72EE72" w14:textId="77777777" w:rsidR="00EF7953" w:rsidRPr="001E2023" w:rsidRDefault="00C149E3" w:rsidP="00C149E3">
      <w:pPr>
        <w:pStyle w:val="ManualNumPar1"/>
        <w:rPr>
          <w:noProof/>
        </w:rPr>
      </w:pPr>
      <w:r w:rsidRPr="00C149E3">
        <w:rPr>
          <w:noProof/>
        </w:rPr>
        <w:t>4.</w:t>
      </w:r>
      <w:r w:rsidRPr="00C149E3">
        <w:rPr>
          <w:noProof/>
        </w:rPr>
        <w:tab/>
      </w:r>
      <w:r w:rsidR="00EF7953" w:rsidRPr="001E2023">
        <w:rPr>
          <w:noProof/>
        </w:rPr>
        <w:t>Členské štáty bezodkladne oznámia Komisii znenie hlavných ustanovení vnútroštátnych právnych predpisov, ktoré prijmú</w:t>
      </w:r>
      <w:r w:rsidR="001E2023">
        <w:rPr>
          <w:noProof/>
        </w:rPr>
        <w:t xml:space="preserve"> v </w:t>
      </w:r>
      <w:r w:rsidR="00EF7953" w:rsidRPr="001E2023">
        <w:rPr>
          <w:noProof/>
        </w:rPr>
        <w:t>oblasti pôsobnosti tejto smernice.</w:t>
      </w:r>
    </w:p>
    <w:p w14:paraId="4732452F" w14:textId="77777777" w:rsidR="00EF7953" w:rsidRPr="001E2023" w:rsidRDefault="00EF7953" w:rsidP="001E2023">
      <w:pPr>
        <w:pStyle w:val="Titrearticle"/>
        <w:keepNext w:val="0"/>
        <w:rPr>
          <w:noProof/>
        </w:rPr>
      </w:pPr>
      <w:r w:rsidRPr="001E2023">
        <w:rPr>
          <w:noProof/>
        </w:rPr>
        <w:t>Článok 3</w:t>
      </w:r>
    </w:p>
    <w:p w14:paraId="6E94F7A2" w14:textId="77777777" w:rsidR="00EF7953" w:rsidRPr="001E2023" w:rsidRDefault="00EF7953" w:rsidP="001E2023">
      <w:pPr>
        <w:rPr>
          <w:noProof/>
        </w:rPr>
      </w:pPr>
      <w:r w:rsidRPr="001E2023">
        <w:rPr>
          <w:noProof/>
        </w:rPr>
        <w:t>Táto smernica nadobúda účinnosť dvadsiatym dňom po jej uverejnení</w:t>
      </w:r>
      <w:r w:rsidR="001E2023">
        <w:rPr>
          <w:noProof/>
        </w:rPr>
        <w:t xml:space="preserve"> v </w:t>
      </w:r>
      <w:r w:rsidRPr="001E2023">
        <w:rPr>
          <w:i/>
          <w:noProof/>
        </w:rPr>
        <w:t>Úradnom vestníku Európskej únie</w:t>
      </w:r>
      <w:r w:rsidRPr="001E2023">
        <w:rPr>
          <w:noProof/>
        </w:rPr>
        <w:t>.</w:t>
      </w:r>
    </w:p>
    <w:p w14:paraId="63ED00B4" w14:textId="77777777" w:rsidR="00EF7953" w:rsidRPr="001E2023" w:rsidRDefault="00EF7953" w:rsidP="00B1732E">
      <w:pPr>
        <w:pStyle w:val="Titrearticle"/>
        <w:rPr>
          <w:noProof/>
        </w:rPr>
      </w:pPr>
      <w:r w:rsidRPr="001E2023">
        <w:rPr>
          <w:noProof/>
        </w:rPr>
        <w:t>Článok 4</w:t>
      </w:r>
    </w:p>
    <w:p w14:paraId="1640E72A" w14:textId="77777777" w:rsidR="00EF7953" w:rsidRPr="001E2023" w:rsidRDefault="00EF7953" w:rsidP="001E2023">
      <w:pPr>
        <w:rPr>
          <w:noProof/>
        </w:rPr>
      </w:pPr>
      <w:r w:rsidRPr="001E2023">
        <w:rPr>
          <w:noProof/>
        </w:rPr>
        <w:t>Táto smernica je určená členským štátom.</w:t>
      </w:r>
    </w:p>
    <w:p w14:paraId="52F0EDB4" w14:textId="77777777" w:rsidR="00EF7953" w:rsidRPr="001E2023" w:rsidRDefault="00443FDB" w:rsidP="00B1732E">
      <w:pPr>
        <w:pStyle w:val="Fait"/>
        <w:rPr>
          <w:noProof/>
        </w:rPr>
      </w:pPr>
      <w:r>
        <w:rPr>
          <w:noProof/>
        </w:rPr>
        <w:t>V Bruseli</w:t>
      </w:r>
    </w:p>
    <w:p w14:paraId="7FDBFC1C" w14:textId="77777777" w:rsidR="00EF7953" w:rsidRPr="001E2023" w:rsidRDefault="00EF7953" w:rsidP="00B1732E">
      <w:pPr>
        <w:pStyle w:val="Institutionquisigne"/>
        <w:rPr>
          <w:noProof/>
        </w:rPr>
      </w:pPr>
      <w:r w:rsidRPr="001E2023">
        <w:rPr>
          <w:noProof/>
        </w:rPr>
        <w:tab/>
        <w:t>Za Radu</w:t>
      </w:r>
    </w:p>
    <w:p w14:paraId="3563C9B0" w14:textId="77777777" w:rsidR="00EF7953" w:rsidRPr="001E2023" w:rsidRDefault="00EF7953" w:rsidP="001E2023">
      <w:pPr>
        <w:pStyle w:val="Personnequisigne"/>
        <w:rPr>
          <w:noProof/>
        </w:rPr>
      </w:pPr>
      <w:r w:rsidRPr="001E2023">
        <w:rPr>
          <w:noProof/>
        </w:rPr>
        <w:tab/>
        <w:t>predseda</w:t>
      </w:r>
    </w:p>
    <w:p w14:paraId="503D472B" w14:textId="77777777" w:rsidR="00EF7953" w:rsidRPr="001E2023" w:rsidRDefault="00EF7953">
      <w:pPr>
        <w:pStyle w:val="Fichefinanciretitre"/>
        <w:keepNext/>
        <w:rPr>
          <w:noProof/>
        </w:rPr>
      </w:pPr>
      <w:bookmarkStart w:id="3" w:name="_TocB7751C055C4744A28A002AAF436526DF"/>
      <w:r w:rsidRPr="001E2023">
        <w:rPr>
          <w:noProof/>
        </w:rPr>
        <w:lastRenderedPageBreak/>
        <w:t>LEGISLATÍVNY FINANČNÝ VÝKAZ</w:t>
      </w:r>
      <w:bookmarkEnd w:id="3"/>
    </w:p>
    <w:p w14:paraId="59E01B7B" w14:textId="77777777" w:rsidR="00EF7953" w:rsidRPr="001E2023" w:rsidRDefault="00EF7953">
      <w:pPr>
        <w:pStyle w:val="ManualHeading1"/>
        <w:rPr>
          <w:noProof/>
        </w:rPr>
      </w:pPr>
      <w:r w:rsidRPr="001E2023">
        <w:rPr>
          <w:noProof/>
        </w:rPr>
        <w:t>1.</w:t>
      </w:r>
      <w:r w:rsidRPr="001E2023">
        <w:rPr>
          <w:noProof/>
        </w:rPr>
        <w:tab/>
        <w:t>RÁMEC NÁVRHU/INICIATÍVY</w:t>
      </w:r>
    </w:p>
    <w:p w14:paraId="058B15E1" w14:textId="77777777" w:rsidR="00EF7953" w:rsidRPr="001E2023" w:rsidRDefault="00EF7953">
      <w:pPr>
        <w:pStyle w:val="ManualHeading2"/>
        <w:rPr>
          <w:noProof/>
        </w:rPr>
      </w:pPr>
      <w:r w:rsidRPr="001E2023">
        <w:rPr>
          <w:noProof/>
        </w:rPr>
        <w:t>1.1.</w:t>
      </w:r>
      <w:r w:rsidRPr="001E2023">
        <w:rPr>
          <w:noProof/>
        </w:rPr>
        <w:tab/>
        <w:t>Názov návrhu/iniciatívy</w:t>
      </w:r>
    </w:p>
    <w:p w14:paraId="43D30432" w14:textId="77777777" w:rsidR="00EF7953" w:rsidRPr="001E2023" w:rsidRDefault="00EF7953">
      <w:pPr>
        <w:pStyle w:val="ManualHeading2"/>
        <w:rPr>
          <w:noProof/>
        </w:rPr>
      </w:pPr>
      <w:r w:rsidRPr="001E2023">
        <w:rPr>
          <w:noProof/>
        </w:rPr>
        <w:t>1.2.</w:t>
      </w:r>
      <w:r w:rsidRPr="001E2023">
        <w:rPr>
          <w:noProof/>
        </w:rPr>
        <w:tab/>
        <w:t>Príslušné oblasti politiky</w:t>
      </w:r>
    </w:p>
    <w:p w14:paraId="1154D97E" w14:textId="77777777" w:rsidR="00EF7953" w:rsidRPr="001E2023" w:rsidRDefault="00EF7953">
      <w:pPr>
        <w:pStyle w:val="ManualHeading2"/>
        <w:rPr>
          <w:noProof/>
        </w:rPr>
      </w:pPr>
      <w:r w:rsidRPr="001E2023">
        <w:rPr>
          <w:noProof/>
        </w:rPr>
        <w:t>1.3.</w:t>
      </w:r>
      <w:r w:rsidRPr="001E2023">
        <w:rPr>
          <w:noProof/>
        </w:rPr>
        <w:tab/>
        <w:t>Návrh/iniciatíva sa týka:</w:t>
      </w:r>
    </w:p>
    <w:p w14:paraId="7F287CC1" w14:textId="77777777" w:rsidR="00EF7953" w:rsidRPr="001E2023" w:rsidRDefault="00EF7953">
      <w:pPr>
        <w:pStyle w:val="ManualHeading2"/>
        <w:rPr>
          <w:noProof/>
        </w:rPr>
      </w:pPr>
      <w:r w:rsidRPr="001E2023">
        <w:rPr>
          <w:noProof/>
        </w:rPr>
        <w:t>1.4.</w:t>
      </w:r>
      <w:r w:rsidRPr="001E2023">
        <w:rPr>
          <w:noProof/>
        </w:rPr>
        <w:tab/>
        <w:t>Ciele</w:t>
      </w:r>
    </w:p>
    <w:p w14:paraId="4F46EAFA" w14:textId="77777777" w:rsidR="00EF7953" w:rsidRPr="001E2023" w:rsidRDefault="00EF7953">
      <w:pPr>
        <w:pStyle w:val="ManualHeading3"/>
        <w:rPr>
          <w:noProof/>
        </w:rPr>
      </w:pPr>
      <w:r w:rsidRPr="001E2023">
        <w:rPr>
          <w:noProof/>
        </w:rPr>
        <w:t>1.4.1.</w:t>
      </w:r>
      <w:r w:rsidRPr="001E2023">
        <w:rPr>
          <w:noProof/>
        </w:rPr>
        <w:tab/>
        <w:t>Všeobecné ciele</w:t>
      </w:r>
    </w:p>
    <w:p w14:paraId="6EB16431" w14:textId="77777777" w:rsidR="00EF7953" w:rsidRPr="001E2023" w:rsidRDefault="00EF7953">
      <w:pPr>
        <w:pStyle w:val="ManualHeading3"/>
        <w:rPr>
          <w:noProof/>
        </w:rPr>
      </w:pPr>
      <w:r w:rsidRPr="001E2023">
        <w:rPr>
          <w:noProof/>
        </w:rPr>
        <w:t>1.4.2.</w:t>
      </w:r>
      <w:r w:rsidRPr="001E2023">
        <w:rPr>
          <w:noProof/>
        </w:rPr>
        <w:tab/>
        <w:t>Špecifické ciele</w:t>
      </w:r>
    </w:p>
    <w:p w14:paraId="265D90CE" w14:textId="77777777" w:rsidR="00EF7953" w:rsidRPr="001E2023" w:rsidRDefault="00EF7953">
      <w:pPr>
        <w:pStyle w:val="ManualHeading3"/>
        <w:rPr>
          <w:noProof/>
        </w:rPr>
      </w:pPr>
      <w:r w:rsidRPr="001E2023">
        <w:rPr>
          <w:noProof/>
        </w:rPr>
        <w:t>1.4.3.</w:t>
      </w:r>
      <w:r w:rsidRPr="001E2023">
        <w:rPr>
          <w:noProof/>
        </w:rPr>
        <w:tab/>
        <w:t>Očakávané výsledky</w:t>
      </w:r>
      <w:r w:rsidR="001E2023">
        <w:rPr>
          <w:noProof/>
        </w:rPr>
        <w:t xml:space="preserve"> a </w:t>
      </w:r>
      <w:r w:rsidRPr="001E2023">
        <w:rPr>
          <w:noProof/>
        </w:rPr>
        <w:t>vplyv</w:t>
      </w:r>
    </w:p>
    <w:p w14:paraId="6E8902FA" w14:textId="77777777" w:rsidR="00EF7953" w:rsidRPr="001E2023" w:rsidRDefault="00EF7953">
      <w:pPr>
        <w:pStyle w:val="ManualHeading3"/>
        <w:rPr>
          <w:noProof/>
        </w:rPr>
      </w:pPr>
      <w:r w:rsidRPr="001E2023">
        <w:rPr>
          <w:noProof/>
        </w:rPr>
        <w:t>1.4.4.</w:t>
      </w:r>
      <w:r w:rsidRPr="001E2023">
        <w:rPr>
          <w:noProof/>
        </w:rPr>
        <w:tab/>
        <w:t>Ukazovatele výkonnosti</w:t>
      </w:r>
    </w:p>
    <w:p w14:paraId="1944305A" w14:textId="77777777" w:rsidR="00EF7953" w:rsidRPr="001E2023" w:rsidRDefault="00EF7953">
      <w:pPr>
        <w:pStyle w:val="ManualHeading2"/>
        <w:rPr>
          <w:noProof/>
        </w:rPr>
      </w:pPr>
      <w:r w:rsidRPr="001E2023">
        <w:rPr>
          <w:noProof/>
        </w:rPr>
        <w:t>1.5.</w:t>
      </w:r>
      <w:r w:rsidRPr="001E2023">
        <w:rPr>
          <w:noProof/>
        </w:rPr>
        <w:tab/>
        <w:t>Dôvody návrhu/iniciatívy</w:t>
      </w:r>
    </w:p>
    <w:p w14:paraId="67FFA62A" w14:textId="77777777" w:rsidR="00EF7953" w:rsidRPr="001E2023" w:rsidRDefault="00EF7953">
      <w:pPr>
        <w:pStyle w:val="ManualHeading3"/>
        <w:rPr>
          <w:noProof/>
        </w:rPr>
      </w:pPr>
      <w:r w:rsidRPr="001E2023">
        <w:rPr>
          <w:noProof/>
        </w:rPr>
        <w:t>1.5.1.</w:t>
      </w:r>
      <w:r w:rsidRPr="001E2023">
        <w:rPr>
          <w:noProof/>
        </w:rPr>
        <w:tab/>
        <w:t>Požiadavky, ktoré sa majú splniť</w:t>
      </w:r>
      <w:r w:rsidR="001E2023">
        <w:rPr>
          <w:noProof/>
        </w:rPr>
        <w:t xml:space="preserve"> v </w:t>
      </w:r>
      <w:r w:rsidRPr="001E2023">
        <w:rPr>
          <w:noProof/>
        </w:rPr>
        <w:t>krátkodobom alebo dlhodobom horizonte vrátane podrobného harmonogramu prvotnej fázy vykonávania iniciatívy</w:t>
      </w:r>
    </w:p>
    <w:p w14:paraId="55967F4F" w14:textId="77777777" w:rsidR="00EF7953" w:rsidRPr="001E2023" w:rsidRDefault="00EF7953">
      <w:pPr>
        <w:pStyle w:val="ManualHeading3"/>
        <w:rPr>
          <w:noProof/>
        </w:rPr>
      </w:pPr>
      <w:r w:rsidRPr="001E2023">
        <w:rPr>
          <w:noProof/>
        </w:rPr>
        <w:t>1.5.2.</w:t>
      </w:r>
      <w:r w:rsidRPr="001E2023">
        <w:rPr>
          <w:noProof/>
        </w:rPr>
        <w:tab/>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p>
    <w:p w14:paraId="099EE2AD" w14:textId="77777777" w:rsidR="00EF7953" w:rsidRPr="001E2023" w:rsidRDefault="00EF7953">
      <w:pPr>
        <w:pStyle w:val="ManualHeading3"/>
        <w:rPr>
          <w:noProof/>
        </w:rPr>
      </w:pPr>
      <w:r w:rsidRPr="001E2023">
        <w:rPr>
          <w:noProof/>
        </w:rPr>
        <w:t>1.5.3.</w:t>
      </w:r>
      <w:r w:rsidRPr="001E2023">
        <w:rPr>
          <w:noProof/>
        </w:rPr>
        <w:tab/>
        <w:t>Poznatky získané</w:t>
      </w:r>
      <w:r w:rsidR="001E2023">
        <w:rPr>
          <w:noProof/>
        </w:rPr>
        <w:t xml:space="preserve"> z </w:t>
      </w:r>
      <w:r w:rsidRPr="001E2023">
        <w:rPr>
          <w:noProof/>
        </w:rPr>
        <w:t>podobných skúseností</w:t>
      </w:r>
      <w:r w:rsidR="001E2023">
        <w:rPr>
          <w:noProof/>
        </w:rPr>
        <w:t xml:space="preserve"> v </w:t>
      </w:r>
      <w:r w:rsidRPr="001E2023">
        <w:rPr>
          <w:noProof/>
        </w:rPr>
        <w:t>minulosti</w:t>
      </w:r>
    </w:p>
    <w:p w14:paraId="2F6ACCAF" w14:textId="77777777" w:rsidR="00EF7953" w:rsidRPr="001E2023" w:rsidRDefault="00EF7953">
      <w:pPr>
        <w:pStyle w:val="ManualHeading3"/>
        <w:rPr>
          <w:noProof/>
        </w:rPr>
      </w:pPr>
      <w:r w:rsidRPr="001E2023">
        <w:rPr>
          <w:noProof/>
        </w:rPr>
        <w:t>1.5.4.</w:t>
      </w:r>
      <w:r w:rsidRPr="001E2023">
        <w:rPr>
          <w:noProof/>
        </w:rPr>
        <w:tab/>
        <w:t>Zlučiteľnosť</w:t>
      </w:r>
      <w:r w:rsidR="001E2023">
        <w:rPr>
          <w:noProof/>
        </w:rPr>
        <w:t xml:space="preserve"> s </w:t>
      </w:r>
      <w:r w:rsidRPr="001E2023">
        <w:rPr>
          <w:noProof/>
        </w:rPr>
        <w:t>viacročným finančným rámcom</w:t>
      </w:r>
      <w:r w:rsidR="001E2023">
        <w:rPr>
          <w:noProof/>
        </w:rPr>
        <w:t xml:space="preserve"> a </w:t>
      </w:r>
      <w:r w:rsidRPr="001E2023">
        <w:rPr>
          <w:noProof/>
        </w:rPr>
        <w:t>možná synergia</w:t>
      </w:r>
      <w:r w:rsidR="001E2023">
        <w:rPr>
          <w:noProof/>
        </w:rPr>
        <w:t xml:space="preserve"> s </w:t>
      </w:r>
      <w:r w:rsidRPr="001E2023">
        <w:rPr>
          <w:noProof/>
        </w:rPr>
        <w:t>inými vhodnými nástrojmi</w:t>
      </w:r>
    </w:p>
    <w:p w14:paraId="2F3B1424" w14:textId="77777777" w:rsidR="00EF7953" w:rsidRPr="001E2023" w:rsidRDefault="00EF7953">
      <w:pPr>
        <w:pStyle w:val="ManualHeading3"/>
        <w:rPr>
          <w:noProof/>
        </w:rPr>
      </w:pPr>
      <w:r w:rsidRPr="001E2023">
        <w:rPr>
          <w:noProof/>
        </w:rPr>
        <w:t>1.5.5.</w:t>
      </w:r>
      <w:r w:rsidRPr="001E2023">
        <w:rPr>
          <w:noProof/>
        </w:rPr>
        <w:tab/>
        <w:t>Posúdenie rôznych disponibilných možností financovania vrátane možnosti prerozdelenia</w:t>
      </w:r>
    </w:p>
    <w:p w14:paraId="08807642" w14:textId="77777777" w:rsidR="00EF7953" w:rsidRPr="001E2023" w:rsidRDefault="00EF7953">
      <w:pPr>
        <w:pStyle w:val="ManualHeading2"/>
        <w:rPr>
          <w:noProof/>
        </w:rPr>
      </w:pPr>
      <w:r w:rsidRPr="001E2023">
        <w:rPr>
          <w:noProof/>
        </w:rPr>
        <w:t>1.6.</w:t>
      </w:r>
      <w:r w:rsidRPr="001E2023">
        <w:rPr>
          <w:noProof/>
        </w:rPr>
        <w:tab/>
        <w:t>Trvanie</w:t>
      </w:r>
      <w:r w:rsidR="001E2023">
        <w:rPr>
          <w:noProof/>
        </w:rPr>
        <w:t xml:space="preserve"> a </w:t>
      </w:r>
      <w:r w:rsidRPr="001E2023">
        <w:rPr>
          <w:noProof/>
        </w:rPr>
        <w:t>finančný vplyv návrhu/iniciatívy</w:t>
      </w:r>
    </w:p>
    <w:p w14:paraId="434578E6" w14:textId="77777777" w:rsidR="00EF7953" w:rsidRPr="001E2023" w:rsidRDefault="00EF7953">
      <w:pPr>
        <w:pStyle w:val="ManualHeading2"/>
        <w:rPr>
          <w:noProof/>
        </w:rPr>
      </w:pPr>
      <w:r w:rsidRPr="001E2023">
        <w:rPr>
          <w:noProof/>
        </w:rPr>
        <w:t>1.7.</w:t>
      </w:r>
      <w:r w:rsidRPr="001E2023">
        <w:rPr>
          <w:noProof/>
        </w:rPr>
        <w:tab/>
        <w:t>Plánované metódy plnenia rozpočtu</w:t>
      </w:r>
    </w:p>
    <w:p w14:paraId="5B3BEEDD" w14:textId="77777777" w:rsidR="00EF7953" w:rsidRPr="001E2023" w:rsidRDefault="00EF7953">
      <w:pPr>
        <w:pStyle w:val="ManualHeading1"/>
        <w:rPr>
          <w:noProof/>
        </w:rPr>
      </w:pPr>
      <w:r w:rsidRPr="001E2023">
        <w:rPr>
          <w:noProof/>
        </w:rPr>
        <w:t>2.</w:t>
      </w:r>
      <w:r w:rsidRPr="001E2023">
        <w:rPr>
          <w:noProof/>
        </w:rPr>
        <w:tab/>
        <w:t>OPATRENIA</w:t>
      </w:r>
      <w:r w:rsidR="001E2023">
        <w:rPr>
          <w:noProof/>
        </w:rPr>
        <w:t xml:space="preserve"> V </w:t>
      </w:r>
      <w:r w:rsidRPr="001E2023">
        <w:rPr>
          <w:noProof/>
        </w:rPr>
        <w:t>OBLASTI RIADENIA</w:t>
      </w:r>
    </w:p>
    <w:p w14:paraId="25476FED" w14:textId="77777777" w:rsidR="00EF7953" w:rsidRPr="001E2023" w:rsidRDefault="00EF7953">
      <w:pPr>
        <w:pStyle w:val="ManualHeading2"/>
        <w:rPr>
          <w:noProof/>
        </w:rPr>
      </w:pPr>
      <w:r w:rsidRPr="001E2023">
        <w:rPr>
          <w:noProof/>
        </w:rPr>
        <w:t>2.1.</w:t>
      </w:r>
      <w:r w:rsidRPr="001E2023">
        <w:rPr>
          <w:noProof/>
        </w:rPr>
        <w:tab/>
        <w:t>Zásady monitorovania</w:t>
      </w:r>
      <w:r w:rsidR="001E2023">
        <w:rPr>
          <w:noProof/>
        </w:rPr>
        <w:t xml:space="preserve"> a </w:t>
      </w:r>
      <w:r w:rsidRPr="001E2023">
        <w:rPr>
          <w:noProof/>
        </w:rPr>
        <w:t>predkladania správ</w:t>
      </w:r>
    </w:p>
    <w:p w14:paraId="409D9031" w14:textId="77777777" w:rsidR="00EF7953" w:rsidRPr="001E2023" w:rsidRDefault="00EF7953">
      <w:pPr>
        <w:pStyle w:val="ManualHeading2"/>
        <w:rPr>
          <w:noProof/>
        </w:rPr>
      </w:pPr>
      <w:r w:rsidRPr="001E2023">
        <w:rPr>
          <w:noProof/>
        </w:rPr>
        <w:t>2.2.</w:t>
      </w:r>
      <w:r w:rsidRPr="001E2023">
        <w:rPr>
          <w:noProof/>
        </w:rPr>
        <w:tab/>
        <w:t>Systémy riadenia</w:t>
      </w:r>
      <w:r w:rsidR="001E2023">
        <w:rPr>
          <w:noProof/>
        </w:rPr>
        <w:t xml:space="preserve"> a </w:t>
      </w:r>
      <w:r w:rsidRPr="001E2023">
        <w:rPr>
          <w:noProof/>
        </w:rPr>
        <w:t>kontroly</w:t>
      </w:r>
    </w:p>
    <w:p w14:paraId="77B1915F" w14:textId="77777777" w:rsidR="00EF7953" w:rsidRPr="001E2023" w:rsidRDefault="00EF7953">
      <w:pPr>
        <w:pStyle w:val="ManualHeading3"/>
        <w:rPr>
          <w:noProof/>
        </w:rPr>
      </w:pPr>
      <w:r w:rsidRPr="001E2023">
        <w:rPr>
          <w:noProof/>
        </w:rPr>
        <w:t>2.2.1.</w:t>
      </w:r>
      <w:r w:rsidRPr="001E2023">
        <w:rPr>
          <w:noProof/>
        </w:rPr>
        <w:tab/>
        <w:t>Opodstatnenie navrhovaných spôsobov riadenia, mechanizmov vykonávania financovania, spôsobov platby</w:t>
      </w:r>
      <w:r w:rsidR="001E2023">
        <w:rPr>
          <w:noProof/>
        </w:rPr>
        <w:t xml:space="preserve"> a </w:t>
      </w:r>
      <w:r w:rsidRPr="001E2023">
        <w:rPr>
          <w:noProof/>
        </w:rPr>
        <w:t>stratégie kontroly</w:t>
      </w:r>
    </w:p>
    <w:p w14:paraId="7222E717" w14:textId="77777777" w:rsidR="00EF7953" w:rsidRPr="001E2023" w:rsidRDefault="00EF7953">
      <w:pPr>
        <w:pStyle w:val="ManualHeading3"/>
        <w:rPr>
          <w:noProof/>
        </w:rPr>
      </w:pPr>
      <w:r w:rsidRPr="001E2023">
        <w:rPr>
          <w:noProof/>
        </w:rPr>
        <w:t>2.2.2.</w:t>
      </w:r>
      <w:r w:rsidRPr="001E2023">
        <w:rPr>
          <w:noProof/>
        </w:rPr>
        <w:tab/>
        <w:t>Informácie</w:t>
      </w:r>
      <w:r w:rsidR="001E2023">
        <w:rPr>
          <w:noProof/>
        </w:rPr>
        <w:t xml:space="preserve"> o </w:t>
      </w:r>
      <w:r w:rsidRPr="001E2023">
        <w:rPr>
          <w:noProof/>
        </w:rPr>
        <w:t>zistených rizikách</w:t>
      </w:r>
      <w:r w:rsidR="001E2023">
        <w:rPr>
          <w:noProof/>
        </w:rPr>
        <w:t xml:space="preserve"> a </w:t>
      </w:r>
      <w:r w:rsidRPr="001E2023">
        <w:rPr>
          <w:noProof/>
        </w:rPr>
        <w:t>systémoch vnútornej kontroly zavedených na ich zmierňovanie</w:t>
      </w:r>
    </w:p>
    <w:p w14:paraId="400847AE" w14:textId="77777777" w:rsidR="00EF7953" w:rsidRPr="001E2023" w:rsidRDefault="00EF7953">
      <w:pPr>
        <w:pStyle w:val="ManualHeading3"/>
        <w:rPr>
          <w:noProof/>
        </w:rPr>
      </w:pPr>
      <w:r w:rsidRPr="001E2023">
        <w:rPr>
          <w:noProof/>
        </w:rPr>
        <w:t>2.2.3.</w:t>
      </w:r>
      <w:r w:rsidRPr="001E2023">
        <w:rPr>
          <w:noProof/>
        </w:rPr>
        <w:tab/>
        <w:t>Odhad</w:t>
      </w:r>
      <w:r w:rsidR="001E2023">
        <w:rPr>
          <w:noProof/>
        </w:rPr>
        <w:t xml:space="preserve"> a </w:t>
      </w:r>
      <w:r w:rsidRPr="001E2023">
        <w:rPr>
          <w:noProof/>
        </w:rPr>
        <w:t>opodstatnenie nákladovej účinnosti kontrol (pomer medzi nákladmi na kontroly</w:t>
      </w:r>
      <w:r w:rsidR="001E2023">
        <w:rPr>
          <w:noProof/>
        </w:rPr>
        <w:t xml:space="preserve"> a </w:t>
      </w:r>
      <w:r w:rsidRPr="001E2023">
        <w:rPr>
          <w:noProof/>
        </w:rPr>
        <w:t>hodnotou súvisiacich riadených finančných prostriedkov)</w:t>
      </w:r>
      <w:r w:rsidR="001E2023">
        <w:rPr>
          <w:noProof/>
        </w:rPr>
        <w:t xml:space="preserve"> a </w:t>
      </w:r>
      <w:r w:rsidRPr="001E2023">
        <w:rPr>
          <w:noProof/>
        </w:rPr>
        <w:t>posúdenie očakávaných úrovní rizika chyby (pri platbe</w:t>
      </w:r>
      <w:r w:rsidR="001E2023">
        <w:rPr>
          <w:noProof/>
        </w:rPr>
        <w:t xml:space="preserve"> a </w:t>
      </w:r>
      <w:r w:rsidRPr="001E2023">
        <w:rPr>
          <w:noProof/>
        </w:rPr>
        <w:t>uzavretí)</w:t>
      </w:r>
    </w:p>
    <w:p w14:paraId="18B2AE76" w14:textId="77777777" w:rsidR="00EF7953" w:rsidRPr="001E2023" w:rsidRDefault="00EF7953">
      <w:pPr>
        <w:pStyle w:val="ManualHeading2"/>
        <w:rPr>
          <w:noProof/>
        </w:rPr>
      </w:pPr>
      <w:r w:rsidRPr="001E2023">
        <w:rPr>
          <w:noProof/>
        </w:rPr>
        <w:t>2.3.</w:t>
      </w:r>
      <w:r w:rsidRPr="001E2023">
        <w:rPr>
          <w:noProof/>
        </w:rPr>
        <w:tab/>
        <w:t>Opatrenia na predchádzanie podvodom</w:t>
      </w:r>
      <w:r w:rsidR="001E2023">
        <w:rPr>
          <w:noProof/>
        </w:rPr>
        <w:t xml:space="preserve"> a </w:t>
      </w:r>
      <w:r w:rsidRPr="001E2023">
        <w:rPr>
          <w:noProof/>
        </w:rPr>
        <w:t>nezrovnalostiam</w:t>
      </w:r>
    </w:p>
    <w:p w14:paraId="19DBACF3" w14:textId="77777777" w:rsidR="00EF7953" w:rsidRPr="001E2023" w:rsidRDefault="00EF7953">
      <w:pPr>
        <w:pStyle w:val="ManualHeading1"/>
        <w:rPr>
          <w:noProof/>
        </w:rPr>
      </w:pPr>
      <w:r w:rsidRPr="001E2023">
        <w:rPr>
          <w:noProof/>
        </w:rPr>
        <w:t>3.</w:t>
      </w:r>
      <w:r w:rsidRPr="001E2023">
        <w:rPr>
          <w:noProof/>
        </w:rPr>
        <w:tab/>
        <w:t>ODHADOVANÝ FINANČNÝ VPLYV NÁVRHU/INICIATÍVY</w:t>
      </w:r>
    </w:p>
    <w:p w14:paraId="1B86B614" w14:textId="77777777" w:rsidR="00EF7953" w:rsidRPr="001E2023" w:rsidRDefault="00EF7953">
      <w:pPr>
        <w:pStyle w:val="ManualHeading2"/>
        <w:rPr>
          <w:noProof/>
        </w:rPr>
      </w:pPr>
      <w:r w:rsidRPr="001E2023">
        <w:rPr>
          <w:noProof/>
        </w:rPr>
        <w:t>3.1.</w:t>
      </w:r>
      <w:r w:rsidRPr="001E2023">
        <w:rPr>
          <w:noProof/>
        </w:rPr>
        <w:tab/>
        <w:t>Príslušné okruhy viacročného finančného rámca</w:t>
      </w:r>
      <w:r w:rsidR="001E2023">
        <w:rPr>
          <w:noProof/>
        </w:rPr>
        <w:t xml:space="preserve"> a </w:t>
      </w:r>
      <w:r w:rsidRPr="001E2023">
        <w:rPr>
          <w:noProof/>
        </w:rPr>
        <w:t>rozpočtové riadky výdavkov</w:t>
      </w:r>
    </w:p>
    <w:p w14:paraId="1A03E1E7" w14:textId="77777777" w:rsidR="00EF7953" w:rsidRPr="001E2023" w:rsidRDefault="00EF7953">
      <w:pPr>
        <w:pStyle w:val="ManualHeading2"/>
        <w:rPr>
          <w:noProof/>
        </w:rPr>
      </w:pPr>
      <w:r w:rsidRPr="001E2023">
        <w:rPr>
          <w:noProof/>
        </w:rPr>
        <w:lastRenderedPageBreak/>
        <w:t>3.2.</w:t>
      </w:r>
      <w:r w:rsidRPr="001E2023">
        <w:rPr>
          <w:noProof/>
        </w:rPr>
        <w:tab/>
        <w:t>Odhadovaný finančný vplyv návrhu na rozpočtové prostriedky</w:t>
      </w:r>
    </w:p>
    <w:p w14:paraId="21FE1D15" w14:textId="77777777" w:rsidR="00EF7953" w:rsidRPr="001E2023" w:rsidRDefault="00EF7953">
      <w:pPr>
        <w:pStyle w:val="ManualHeading3"/>
        <w:rPr>
          <w:noProof/>
        </w:rPr>
      </w:pPr>
      <w:r w:rsidRPr="001E2023">
        <w:rPr>
          <w:noProof/>
        </w:rPr>
        <w:t>3.2.1.</w:t>
      </w:r>
      <w:r w:rsidRPr="001E2023">
        <w:rPr>
          <w:noProof/>
        </w:rPr>
        <w:tab/>
        <w:t>Zhrnutie odhadovaného vplyvu na operačné rozpočtové prostriedky</w:t>
      </w:r>
    </w:p>
    <w:p w14:paraId="2CAE7104" w14:textId="77777777" w:rsidR="00EF7953" w:rsidRPr="001E2023" w:rsidRDefault="00EF7953">
      <w:pPr>
        <w:pStyle w:val="ManualHeading3"/>
        <w:rPr>
          <w:noProof/>
        </w:rPr>
      </w:pPr>
      <w:r w:rsidRPr="001E2023">
        <w:rPr>
          <w:noProof/>
        </w:rPr>
        <w:t>3.2.2.</w:t>
      </w:r>
      <w:r w:rsidRPr="001E2023">
        <w:rPr>
          <w:noProof/>
        </w:rPr>
        <w:tab/>
        <w:t>Odhadované výstupy financované</w:t>
      </w:r>
      <w:r w:rsidR="001E2023">
        <w:rPr>
          <w:noProof/>
        </w:rPr>
        <w:t xml:space="preserve"> z </w:t>
      </w:r>
      <w:r w:rsidRPr="001E2023">
        <w:rPr>
          <w:noProof/>
        </w:rPr>
        <w:t>operačných rozpočtových prostriedkov</w:t>
      </w:r>
    </w:p>
    <w:p w14:paraId="3B327DBF" w14:textId="77777777" w:rsidR="00EF7953" w:rsidRPr="001E2023" w:rsidRDefault="00EF7953">
      <w:pPr>
        <w:pStyle w:val="ManualHeading3"/>
        <w:rPr>
          <w:noProof/>
        </w:rPr>
      </w:pPr>
      <w:r w:rsidRPr="001E2023">
        <w:rPr>
          <w:noProof/>
        </w:rPr>
        <w:t>3.2.3.</w:t>
      </w:r>
      <w:r w:rsidRPr="001E2023">
        <w:rPr>
          <w:noProof/>
        </w:rPr>
        <w:tab/>
        <w:t>Zhrnutie odhadovaného vplyvu na administratívne rozpočtové prostriedky</w:t>
      </w:r>
    </w:p>
    <w:p w14:paraId="1B0ED351" w14:textId="77777777" w:rsidR="00EF7953" w:rsidRPr="001E2023" w:rsidRDefault="00EF7953">
      <w:pPr>
        <w:pStyle w:val="ManualHeading3"/>
        <w:rPr>
          <w:noProof/>
        </w:rPr>
      </w:pPr>
      <w:r w:rsidRPr="001E2023">
        <w:rPr>
          <w:noProof/>
        </w:rPr>
        <w:t>3.2.3.1.</w:t>
      </w:r>
      <w:r w:rsidRPr="001E2023">
        <w:rPr>
          <w:noProof/>
        </w:rPr>
        <w:tab/>
        <w:t>Odhadovaná potreba ľudských zdrojov</w:t>
      </w:r>
    </w:p>
    <w:p w14:paraId="22CD967B" w14:textId="77777777" w:rsidR="00EF7953" w:rsidRPr="001E2023" w:rsidRDefault="00EF7953">
      <w:pPr>
        <w:pStyle w:val="ManualHeading3"/>
        <w:rPr>
          <w:noProof/>
        </w:rPr>
      </w:pPr>
      <w:r w:rsidRPr="001E2023">
        <w:rPr>
          <w:noProof/>
        </w:rPr>
        <w:t>3.2.4.</w:t>
      </w:r>
      <w:r w:rsidRPr="001E2023">
        <w:rPr>
          <w:noProof/>
        </w:rPr>
        <w:tab/>
        <w:t>Súlad</w:t>
      </w:r>
      <w:r w:rsidR="001E2023">
        <w:rPr>
          <w:noProof/>
        </w:rPr>
        <w:t xml:space="preserve"> s </w:t>
      </w:r>
      <w:r w:rsidRPr="001E2023">
        <w:rPr>
          <w:noProof/>
        </w:rPr>
        <w:t>platným viacročným finančným rámcom</w:t>
      </w:r>
    </w:p>
    <w:p w14:paraId="4412AE2C" w14:textId="77777777" w:rsidR="00EF7953" w:rsidRPr="001E2023" w:rsidRDefault="00EF7953">
      <w:pPr>
        <w:pStyle w:val="ManualHeading3"/>
        <w:rPr>
          <w:noProof/>
        </w:rPr>
      </w:pPr>
      <w:r w:rsidRPr="001E2023">
        <w:rPr>
          <w:noProof/>
        </w:rPr>
        <w:t>3.2.5.</w:t>
      </w:r>
      <w:r w:rsidRPr="001E2023">
        <w:rPr>
          <w:noProof/>
        </w:rPr>
        <w:tab/>
        <w:t>Príspevky od tretích strán</w:t>
      </w:r>
    </w:p>
    <w:p w14:paraId="1BB09E63" w14:textId="77777777" w:rsidR="00EF7953" w:rsidRPr="001E2023" w:rsidRDefault="00EF7953">
      <w:pPr>
        <w:pStyle w:val="ManualHeading2"/>
        <w:rPr>
          <w:noProof/>
        </w:rPr>
      </w:pPr>
      <w:r w:rsidRPr="001E2023">
        <w:rPr>
          <w:noProof/>
        </w:rPr>
        <w:t>3.3.</w:t>
      </w:r>
      <w:r w:rsidRPr="001E2023">
        <w:rPr>
          <w:noProof/>
        </w:rPr>
        <w:tab/>
        <w:t>Odhadovaný vplyv na príjmy</w:t>
      </w:r>
    </w:p>
    <w:p w14:paraId="61B8EB9E" w14:textId="77777777" w:rsidR="00EF7953" w:rsidRPr="001E2023" w:rsidRDefault="00EF7953">
      <w:pPr>
        <w:rPr>
          <w:noProof/>
        </w:rPr>
        <w:sectPr w:rsidR="00EF7953" w:rsidRPr="001E2023" w:rsidSect="003F317C">
          <w:pgSz w:w="11907" w:h="16840" w:code="9"/>
          <w:pgMar w:top="1134" w:right="1418" w:bottom="1134" w:left="1418" w:header="709" w:footer="709" w:gutter="0"/>
          <w:cols w:space="720"/>
          <w:docGrid w:linePitch="360"/>
        </w:sectPr>
      </w:pPr>
    </w:p>
    <w:p w14:paraId="0E33FA52" w14:textId="77777777" w:rsidR="001E2023" w:rsidRPr="001E2023" w:rsidRDefault="00EF7953">
      <w:pPr>
        <w:pStyle w:val="ManualHeading1"/>
        <w:rPr>
          <w:noProof/>
        </w:rPr>
      </w:pPr>
      <w:bookmarkStart w:id="4" w:name="_Toc514938007"/>
      <w:bookmarkStart w:id="5" w:name="_Toc520485025"/>
      <w:r w:rsidRPr="001E2023">
        <w:rPr>
          <w:noProof/>
        </w:rPr>
        <w:lastRenderedPageBreak/>
        <w:t>1.</w:t>
      </w:r>
      <w:r w:rsidRPr="001E2023">
        <w:rPr>
          <w:noProof/>
        </w:rPr>
        <w:tab/>
        <w:t>RÁMEC NÁVRHU/INICIATÍVY</w:t>
      </w:r>
      <w:bookmarkEnd w:id="4"/>
      <w:bookmarkEnd w:id="5"/>
    </w:p>
    <w:p w14:paraId="7B16E12B" w14:textId="77777777" w:rsidR="00EF7953" w:rsidRPr="001E2023" w:rsidRDefault="00EF7953">
      <w:pPr>
        <w:pStyle w:val="ManualHeading2"/>
        <w:rPr>
          <w:noProof/>
        </w:rPr>
      </w:pPr>
      <w:bookmarkStart w:id="6" w:name="_Toc514938008"/>
      <w:bookmarkStart w:id="7" w:name="_Toc520485026"/>
      <w:r w:rsidRPr="001E2023">
        <w:rPr>
          <w:noProof/>
        </w:rPr>
        <w:t>1.1.</w:t>
      </w:r>
      <w:r w:rsidRPr="001E2023">
        <w:rPr>
          <w:noProof/>
        </w:rPr>
        <w:tab/>
        <w:t>Názov návrhu/iniciatívy</w:t>
      </w:r>
      <w:bookmarkEnd w:id="6"/>
      <w:bookmarkEnd w:id="7"/>
    </w:p>
    <w:p w14:paraId="37C93678" w14:textId="77777777" w:rsidR="00EF7953" w:rsidRPr="001E2023" w:rsidRDefault="00260B5F">
      <w:pPr>
        <w:pStyle w:val="Text1"/>
        <w:pBdr>
          <w:top w:val="single" w:sz="4" w:space="1" w:color="auto"/>
          <w:left w:val="single" w:sz="4" w:space="4" w:color="auto"/>
          <w:bottom w:val="single" w:sz="4" w:space="1" w:color="auto"/>
          <w:right w:val="single" w:sz="4" w:space="4" w:color="auto"/>
        </w:pBdr>
        <w:rPr>
          <w:noProof/>
        </w:rPr>
      </w:pPr>
      <w:r w:rsidRPr="001E2023">
        <w:rPr>
          <w:noProof/>
        </w:rPr>
        <w:t>Smernica Rady (EÚ) 2024/XX</w:t>
      </w:r>
      <w:r w:rsidR="001E2023">
        <w:rPr>
          <w:noProof/>
        </w:rPr>
        <w:t xml:space="preserve"> z </w:t>
      </w:r>
      <w:r w:rsidRPr="001E2023">
        <w:rPr>
          <w:noProof/>
        </w:rPr>
        <w:t>XX, ktorou sa mení smernica 2011/16/EÚ</w:t>
      </w:r>
      <w:r w:rsidR="001E2023">
        <w:rPr>
          <w:noProof/>
        </w:rPr>
        <w:t xml:space="preserve"> o </w:t>
      </w:r>
      <w:r w:rsidRPr="001E2023">
        <w:rPr>
          <w:noProof/>
        </w:rPr>
        <w:t>administratívnej spolupráci</w:t>
      </w:r>
      <w:r w:rsidR="001E2023">
        <w:rPr>
          <w:noProof/>
        </w:rPr>
        <w:t xml:space="preserve"> v </w:t>
      </w:r>
      <w:r w:rsidRPr="001E2023">
        <w:rPr>
          <w:noProof/>
        </w:rPr>
        <w:t>oblasti daní</w:t>
      </w:r>
    </w:p>
    <w:p w14:paraId="3D3B5935" w14:textId="77777777" w:rsidR="001E2023" w:rsidRPr="001E2023" w:rsidRDefault="00EF7953">
      <w:pPr>
        <w:pStyle w:val="ManualHeading2"/>
        <w:rPr>
          <w:i/>
          <w:noProof/>
        </w:rPr>
      </w:pPr>
      <w:bookmarkStart w:id="8" w:name="_Toc514938011"/>
      <w:bookmarkStart w:id="9" w:name="_Toc520485027"/>
      <w:r w:rsidRPr="001E2023">
        <w:rPr>
          <w:noProof/>
        </w:rPr>
        <w:t>1.2.</w:t>
      </w:r>
      <w:r w:rsidRPr="001E2023">
        <w:rPr>
          <w:noProof/>
        </w:rPr>
        <w:tab/>
        <w:t>Príslušné oblasti politiky</w:t>
      </w:r>
      <w:bookmarkEnd w:id="8"/>
      <w:bookmarkEnd w:id="9"/>
    </w:p>
    <w:p w14:paraId="28DA2843" w14:textId="77777777" w:rsidR="00EF7953" w:rsidRPr="001E2023" w:rsidRDefault="001D1742">
      <w:pPr>
        <w:pStyle w:val="Text1"/>
        <w:pBdr>
          <w:top w:val="single" w:sz="4" w:space="1" w:color="auto"/>
          <w:left w:val="single" w:sz="4" w:space="4" w:color="auto"/>
          <w:bottom w:val="single" w:sz="4" w:space="1" w:color="auto"/>
          <w:right w:val="single" w:sz="4" w:space="4" w:color="auto"/>
        </w:pBdr>
        <w:rPr>
          <w:noProof/>
        </w:rPr>
      </w:pPr>
      <w:r w:rsidRPr="001E2023">
        <w:rPr>
          <w:noProof/>
        </w:rPr>
        <w:t>Daňová politika</w:t>
      </w:r>
    </w:p>
    <w:p w14:paraId="54475C4B" w14:textId="77777777" w:rsidR="001E2023" w:rsidRPr="001E2023" w:rsidRDefault="00EF7953">
      <w:pPr>
        <w:pStyle w:val="ManualHeading2"/>
        <w:rPr>
          <w:noProof/>
        </w:rPr>
      </w:pPr>
      <w:bookmarkStart w:id="10" w:name="_Toc514938014"/>
      <w:bookmarkStart w:id="11" w:name="_Toc520485028"/>
      <w:r w:rsidRPr="001E2023">
        <w:rPr>
          <w:noProof/>
        </w:rPr>
        <w:t>1.3.</w:t>
      </w:r>
      <w:r w:rsidRPr="001E2023">
        <w:rPr>
          <w:noProof/>
        </w:rPr>
        <w:tab/>
        <w:t>Návrh/iniciatíva sa týka</w:t>
      </w:r>
      <w:bookmarkEnd w:id="10"/>
      <w:bookmarkEnd w:id="11"/>
      <w:r w:rsidR="001E2023" w:rsidRPr="001E2023">
        <w:rPr>
          <w:noProof/>
        </w:rPr>
        <w:t>:</w:t>
      </w:r>
    </w:p>
    <w:p w14:paraId="50AC8DCD" w14:textId="77777777" w:rsidR="001E2023" w:rsidRPr="001E2023" w:rsidRDefault="00541013">
      <w:pPr>
        <w:pStyle w:val="Text1"/>
        <w:rPr>
          <w:b/>
          <w:noProof/>
          <w:sz w:val="22"/>
        </w:rPr>
      </w:pPr>
      <w:sdt>
        <w:sdtPr>
          <w:rPr>
            <w:b/>
            <w:iCs/>
            <w:noProof/>
            <w:sz w:val="22"/>
          </w:rPr>
          <w:id w:val="-1355885771"/>
          <w14:checkbox>
            <w14:checked w14:val="1"/>
            <w14:checkedState w14:val="2612" w14:font="MS Gothic"/>
            <w14:uncheckedState w14:val="2610" w14:font="MS Gothic"/>
          </w14:checkbox>
        </w:sdtPr>
        <w:sdtEndPr/>
        <w:sdtContent>
          <w:r w:rsidR="00C532DC" w:rsidRPr="001E2023">
            <w:rPr>
              <w:rFonts w:ascii="MS Gothic" w:eastAsia="MS Gothic" w:hAnsi="MS Gothic"/>
              <w:b/>
              <w:iCs/>
              <w:noProof/>
              <w:sz w:val="22"/>
            </w:rPr>
            <w:t>☒</w:t>
          </w:r>
        </w:sdtContent>
      </w:sdt>
      <w:r w:rsidR="00B21B48" w:rsidRPr="001E2023">
        <w:rPr>
          <w:b/>
          <w:noProof/>
          <w:sz w:val="22"/>
        </w:rPr>
        <w:t xml:space="preserve"> </w:t>
      </w:r>
      <w:r w:rsidR="00B21B48" w:rsidRPr="001E2023">
        <w:rPr>
          <w:b/>
          <w:noProof/>
        </w:rPr>
        <w:t>novej akcie</w:t>
      </w:r>
    </w:p>
    <w:p w14:paraId="06C8C22D" w14:textId="77777777" w:rsidR="001E2023" w:rsidRPr="001E2023" w:rsidRDefault="00EF7953">
      <w:pPr>
        <w:pStyle w:val="Text1"/>
        <w:rPr>
          <w:noProof/>
          <w:sz w:val="22"/>
        </w:rPr>
      </w:pPr>
      <w:r w:rsidRPr="001E2023">
        <w:rPr>
          <w:rFonts w:ascii="Wingdings" w:hAnsi="Wingdings"/>
          <w:noProof/>
          <w:sz w:val="22"/>
        </w:rPr>
        <w:t></w:t>
      </w:r>
      <w:r w:rsidRPr="001E2023">
        <w:rPr>
          <w:i/>
          <w:noProof/>
          <w:sz w:val="22"/>
        </w:rPr>
        <w:t xml:space="preserve"> </w:t>
      </w:r>
      <w:r w:rsidRPr="001E2023">
        <w:rPr>
          <w:b/>
          <w:noProof/>
        </w:rPr>
        <w:t>novej akcie, ktorá nadväzuje na pilotný projekt/prípravnú akciu</w:t>
      </w:r>
      <w:r w:rsidRPr="001E2023">
        <w:rPr>
          <w:rStyle w:val="Odkaznapoznmkupodiarou"/>
          <w:b/>
          <w:bCs/>
          <w:noProof/>
        </w:rPr>
        <w:footnoteReference w:id="15"/>
      </w:r>
    </w:p>
    <w:p w14:paraId="5ECDDD83" w14:textId="77777777" w:rsidR="001E2023" w:rsidRPr="001E2023" w:rsidRDefault="00EF7953">
      <w:pPr>
        <w:pStyle w:val="Text1"/>
        <w:rPr>
          <w:noProof/>
          <w:sz w:val="22"/>
        </w:rPr>
      </w:pPr>
      <w:r w:rsidRPr="001E2023">
        <w:rPr>
          <w:rFonts w:ascii="Wingdings" w:hAnsi="Wingdings"/>
          <w:noProof/>
          <w:sz w:val="22"/>
        </w:rPr>
        <w:t></w:t>
      </w:r>
      <w:r w:rsidRPr="001E2023">
        <w:rPr>
          <w:i/>
          <w:noProof/>
          <w:sz w:val="22"/>
        </w:rPr>
        <w:t xml:space="preserve"> </w:t>
      </w:r>
      <w:r w:rsidRPr="001E2023">
        <w:rPr>
          <w:b/>
          <w:noProof/>
        </w:rPr>
        <w:t>predĺženia trvania existujúcej akcie</w:t>
      </w:r>
    </w:p>
    <w:p w14:paraId="1AB7C807" w14:textId="77777777" w:rsidR="001E2023" w:rsidRPr="001E2023" w:rsidRDefault="00EF7953">
      <w:pPr>
        <w:pStyle w:val="Text1"/>
        <w:rPr>
          <w:noProof/>
        </w:rPr>
      </w:pPr>
      <w:r w:rsidRPr="001E2023">
        <w:rPr>
          <w:rFonts w:ascii="Wingdings" w:hAnsi="Wingdings"/>
          <w:noProof/>
          <w:sz w:val="22"/>
        </w:rPr>
        <w:t></w:t>
      </w:r>
      <w:r w:rsidRPr="001E2023">
        <w:rPr>
          <w:i/>
          <w:noProof/>
          <w:sz w:val="22"/>
        </w:rPr>
        <w:t xml:space="preserve"> </w:t>
      </w:r>
      <w:r w:rsidRPr="001E2023">
        <w:rPr>
          <w:b/>
          <w:noProof/>
        </w:rPr>
        <w:t>zlúčenia jednej alebo viacerých akcií do ďalšej/novej akcie alebo presmerovania jednej alebo viacerých akcií na ďalšiu/novú akciu</w:t>
      </w:r>
    </w:p>
    <w:p w14:paraId="17817B6E" w14:textId="77777777" w:rsidR="00EF7953" w:rsidRPr="001E2023" w:rsidRDefault="00EF7953">
      <w:pPr>
        <w:pStyle w:val="ManualHeading2"/>
        <w:rPr>
          <w:bCs/>
          <w:noProof/>
          <w:szCs w:val="24"/>
        </w:rPr>
      </w:pPr>
      <w:bookmarkStart w:id="12" w:name="_Toc514938015"/>
      <w:bookmarkStart w:id="13" w:name="_Toc520485029"/>
      <w:r w:rsidRPr="001E2023">
        <w:rPr>
          <w:noProof/>
        </w:rPr>
        <w:t>1.4.</w:t>
      </w:r>
      <w:r w:rsidRPr="001E2023">
        <w:rPr>
          <w:noProof/>
        </w:rPr>
        <w:tab/>
        <w:t>Ciele</w:t>
      </w:r>
      <w:bookmarkEnd w:id="12"/>
      <w:bookmarkEnd w:id="13"/>
    </w:p>
    <w:p w14:paraId="5D68D7FE" w14:textId="77777777" w:rsidR="00EF7953" w:rsidRPr="001E2023" w:rsidRDefault="00EF7953">
      <w:pPr>
        <w:pStyle w:val="ManualHeading3"/>
        <w:rPr>
          <w:noProof/>
        </w:rPr>
      </w:pPr>
      <w:bookmarkStart w:id="14" w:name="_Toc514938016"/>
      <w:bookmarkStart w:id="15" w:name="_Toc520485030"/>
      <w:r w:rsidRPr="001E2023">
        <w:rPr>
          <w:noProof/>
        </w:rPr>
        <w:t>1.4.1.</w:t>
      </w:r>
      <w:r w:rsidRPr="001E2023">
        <w:rPr>
          <w:noProof/>
        </w:rPr>
        <w:tab/>
        <w:t>Všeobecné ciele</w:t>
      </w:r>
      <w:bookmarkEnd w:id="14"/>
      <w:bookmarkEnd w:id="15"/>
    </w:p>
    <w:p w14:paraId="1A330B7C" w14:textId="77777777" w:rsidR="00EF7953" w:rsidRPr="001E2023" w:rsidRDefault="00786F72" w:rsidP="6B795065">
      <w:pPr>
        <w:pStyle w:val="Text1"/>
        <w:pBdr>
          <w:top w:val="single" w:sz="4" w:space="1" w:color="auto"/>
          <w:left w:val="single" w:sz="4" w:space="4" w:color="auto"/>
          <w:bottom w:val="single" w:sz="4" w:space="1" w:color="auto"/>
          <w:right w:val="single" w:sz="4" w:space="4" w:color="auto"/>
        </w:pBdr>
        <w:rPr>
          <w:noProof/>
        </w:rPr>
      </w:pPr>
      <w:r w:rsidRPr="001E2023">
        <w:rPr>
          <w:noProof/>
        </w:rPr>
        <w:t>Cieľom návrhu je zabezpečiť spravodlivé</w:t>
      </w:r>
      <w:r w:rsidR="001E2023">
        <w:rPr>
          <w:noProof/>
        </w:rPr>
        <w:t xml:space="preserve"> a </w:t>
      </w:r>
      <w:r w:rsidRPr="001E2023">
        <w:rPr>
          <w:noProof/>
        </w:rPr>
        <w:t>efektívne fungovanie vnútorného trhu tým, že sa uľahčí centrálne podávanie oznámenia</w:t>
      </w:r>
      <w:r w:rsidR="001E2023">
        <w:rPr>
          <w:noProof/>
        </w:rPr>
        <w:t xml:space="preserve"> s </w:t>
      </w:r>
      <w:r w:rsidRPr="001E2023">
        <w:rPr>
          <w:noProof/>
        </w:rPr>
        <w:t>informáciami na určenie dorovnávacej dane, ako je vymedzené</w:t>
      </w:r>
      <w:r w:rsidR="001E2023">
        <w:rPr>
          <w:noProof/>
        </w:rPr>
        <w:t xml:space="preserve"> v </w:t>
      </w:r>
      <w:r w:rsidRPr="001E2023">
        <w:rPr>
          <w:noProof/>
        </w:rPr>
        <w:t>smernici 2022/2523/EÚ</w:t>
      </w:r>
      <w:r w:rsidR="001E2023">
        <w:rPr>
          <w:noProof/>
        </w:rPr>
        <w:t xml:space="preserve"> o </w:t>
      </w:r>
      <w:r w:rsidRPr="001E2023">
        <w:rPr>
          <w:noProof/>
        </w:rPr>
        <w:t>zabezpečení globálnej minimálnej úrovne zdanenia nadnárodných skupín podnikov</w:t>
      </w:r>
      <w:r w:rsidR="001E2023">
        <w:rPr>
          <w:noProof/>
        </w:rPr>
        <w:t xml:space="preserve"> a </w:t>
      </w:r>
      <w:r w:rsidRPr="001E2023">
        <w:rPr>
          <w:noProof/>
        </w:rPr>
        <w:t>veľkých vnútroštátnych skupín</w:t>
      </w:r>
      <w:r w:rsidR="001E2023">
        <w:rPr>
          <w:noProof/>
        </w:rPr>
        <w:t xml:space="preserve"> v </w:t>
      </w:r>
      <w:r w:rsidRPr="001E2023">
        <w:rPr>
          <w:noProof/>
        </w:rPr>
        <w:t>Únii.</w:t>
      </w:r>
    </w:p>
    <w:p w14:paraId="334C5037" w14:textId="77777777" w:rsidR="008F0632" w:rsidRPr="001E2023" w:rsidRDefault="008F0632" w:rsidP="6B795065">
      <w:pPr>
        <w:pStyle w:val="Text1"/>
        <w:pBdr>
          <w:top w:val="single" w:sz="4" w:space="1" w:color="auto"/>
          <w:left w:val="single" w:sz="4" w:space="4" w:color="auto"/>
          <w:bottom w:val="single" w:sz="4" w:space="1" w:color="auto"/>
          <w:right w:val="single" w:sz="4" w:space="4" w:color="auto"/>
        </w:pBdr>
        <w:rPr>
          <w:noProof/>
        </w:rPr>
      </w:pPr>
      <w:r w:rsidRPr="001E2023">
        <w:rPr>
          <w:noProof/>
        </w:rPr>
        <w:t>Cieľom tejto iniciatívy je takisto chrániť daňové výnosy členských štátov tým, že sa umožní výmena informácií</w:t>
      </w:r>
      <w:r w:rsidR="001E2023">
        <w:rPr>
          <w:noProof/>
        </w:rPr>
        <w:t xml:space="preserve"> v </w:t>
      </w:r>
      <w:r w:rsidRPr="001E2023">
        <w:rPr>
          <w:noProof/>
        </w:rPr>
        <w:t>súvislosti</w:t>
      </w:r>
      <w:r w:rsidR="001E2023">
        <w:rPr>
          <w:noProof/>
        </w:rPr>
        <w:t xml:space="preserve"> s </w:t>
      </w:r>
      <w:r w:rsidRPr="001E2023">
        <w:rPr>
          <w:noProof/>
        </w:rPr>
        <w:t>oznámeniami</w:t>
      </w:r>
      <w:r w:rsidR="001E2023">
        <w:rPr>
          <w:noProof/>
        </w:rPr>
        <w:t xml:space="preserve"> s </w:t>
      </w:r>
      <w:r w:rsidRPr="001E2023">
        <w:rPr>
          <w:noProof/>
        </w:rPr>
        <w:t>informáciami na určenie dorovnávacej dane. To prispieva aj</w:t>
      </w:r>
      <w:r w:rsidR="001E2023">
        <w:rPr>
          <w:noProof/>
        </w:rPr>
        <w:t xml:space="preserve"> k </w:t>
      </w:r>
      <w:r w:rsidRPr="001E2023">
        <w:rPr>
          <w:noProof/>
        </w:rPr>
        <w:t>odrádzaniu od nedodržiavania predpisov.</w:t>
      </w:r>
    </w:p>
    <w:p w14:paraId="11AE225A" w14:textId="77777777" w:rsidR="00EF7953" w:rsidRPr="001E2023" w:rsidRDefault="00EF7953">
      <w:pPr>
        <w:pStyle w:val="ManualHeading3"/>
        <w:rPr>
          <w:bCs/>
          <w:noProof/>
          <w:szCs w:val="24"/>
        </w:rPr>
      </w:pPr>
      <w:bookmarkStart w:id="16" w:name="_Toc514938018"/>
      <w:bookmarkStart w:id="17" w:name="_Toc520485031"/>
      <w:r w:rsidRPr="001E2023">
        <w:rPr>
          <w:noProof/>
        </w:rPr>
        <w:t>1.4.2.</w:t>
      </w:r>
      <w:r w:rsidRPr="001E2023">
        <w:rPr>
          <w:noProof/>
        </w:rPr>
        <w:tab/>
        <w:t>Špecifické ciele</w:t>
      </w:r>
      <w:bookmarkEnd w:id="16"/>
      <w:bookmarkEnd w:id="17"/>
    </w:p>
    <w:p w14:paraId="60689E66" w14:textId="77777777" w:rsidR="00EF7953" w:rsidRPr="001E2023" w:rsidRDefault="00E12468">
      <w:pPr>
        <w:pStyle w:val="Text1"/>
        <w:pBdr>
          <w:top w:val="single" w:sz="4" w:space="1" w:color="auto"/>
          <w:left w:val="single" w:sz="4" w:space="4" w:color="auto"/>
          <w:bottom w:val="single" w:sz="4" w:space="1" w:color="auto"/>
          <w:right w:val="single" w:sz="4" w:space="4" w:color="auto"/>
        </w:pBdr>
        <w:rPr>
          <w:noProof/>
        </w:rPr>
      </w:pPr>
      <w:r w:rsidRPr="001E2023">
        <w:rPr>
          <w:noProof/>
        </w:rPr>
        <w:t>V návrhu sa stanoví jednotný vzor pre nadnárodné podniky</w:t>
      </w:r>
      <w:r w:rsidR="001E2023">
        <w:rPr>
          <w:noProof/>
        </w:rPr>
        <w:t xml:space="preserve"> a </w:t>
      </w:r>
      <w:r w:rsidRPr="001E2023">
        <w:rPr>
          <w:noProof/>
        </w:rPr>
        <w:t>veľké vnútroštátne skupiny patriace do rozsahu pôsobnosti smernice 2022/2523/EÚ na podávanie oznámení</w:t>
      </w:r>
      <w:r w:rsidR="001E2023">
        <w:rPr>
          <w:noProof/>
        </w:rPr>
        <w:t xml:space="preserve"> s </w:t>
      </w:r>
      <w:r w:rsidRPr="001E2023">
        <w:rPr>
          <w:noProof/>
        </w:rPr>
        <w:t>informáciami na určenie dorovnávacej dane. Tým sa výrazne zníži ich administratívne zaťaženie, pretože oznámenie</w:t>
      </w:r>
      <w:r w:rsidR="001E2023">
        <w:rPr>
          <w:noProof/>
        </w:rPr>
        <w:t xml:space="preserve"> s </w:t>
      </w:r>
      <w:r w:rsidRPr="001E2023">
        <w:rPr>
          <w:noProof/>
        </w:rPr>
        <w:t>informáciami na určenie dorovnávacej dane bude rovnaké vo všetkých členských štátoch.</w:t>
      </w:r>
    </w:p>
    <w:p w14:paraId="2891A8BD" w14:textId="77777777" w:rsidR="00781D11" w:rsidRPr="006A0C36" w:rsidRDefault="00781D11">
      <w:pPr>
        <w:pStyle w:val="Text1"/>
        <w:pBdr>
          <w:top w:val="single" w:sz="4" w:space="1" w:color="auto"/>
          <w:left w:val="single" w:sz="4" w:space="4" w:color="auto"/>
          <w:bottom w:val="single" w:sz="4" w:space="1" w:color="auto"/>
          <w:right w:val="single" w:sz="4" w:space="4" w:color="auto"/>
        </w:pBdr>
        <w:rPr>
          <w:noProof/>
          <w:spacing w:val="-6"/>
        </w:rPr>
      </w:pPr>
      <w:r w:rsidRPr="006A0C36">
        <w:rPr>
          <w:noProof/>
          <w:spacing w:val="-6"/>
        </w:rPr>
        <w:t>Po druhé, vďaka automatickej výmene informácií návrh umožní nadnárodným podnikom, na ktoré sa vzťahuje, podávať oznámenie</w:t>
      </w:r>
      <w:r w:rsidR="001E2023" w:rsidRPr="006A0C36">
        <w:rPr>
          <w:noProof/>
          <w:spacing w:val="-6"/>
        </w:rPr>
        <w:t xml:space="preserve"> s </w:t>
      </w:r>
      <w:r w:rsidRPr="006A0C36">
        <w:rPr>
          <w:noProof/>
          <w:spacing w:val="-6"/>
        </w:rPr>
        <w:t>informáciami na určenie dorovnávacej dane len raz za celý nadnárodný podnik (centrálne podávanie), čím sa zníži ich administratívne zaťaženie</w:t>
      </w:r>
      <w:r w:rsidR="001E2023" w:rsidRPr="006A0C36">
        <w:rPr>
          <w:noProof/>
          <w:spacing w:val="-6"/>
        </w:rPr>
        <w:t xml:space="preserve"> a </w:t>
      </w:r>
      <w:r w:rsidRPr="006A0C36">
        <w:rPr>
          <w:noProof/>
          <w:spacing w:val="-6"/>
        </w:rPr>
        <w:t>výrazne sa zníži počet oznámení, ktoré by inak museli podávať.</w:t>
      </w:r>
    </w:p>
    <w:p w14:paraId="770333E6" w14:textId="77777777" w:rsidR="00EF7953" w:rsidRPr="001E2023" w:rsidRDefault="00EF7953">
      <w:pPr>
        <w:pStyle w:val="ManualHeading3"/>
        <w:rPr>
          <w:noProof/>
        </w:rPr>
      </w:pPr>
      <w:bookmarkStart w:id="18" w:name="_Toc514938019"/>
      <w:bookmarkStart w:id="19" w:name="_Toc520485032"/>
      <w:r w:rsidRPr="001E2023">
        <w:rPr>
          <w:noProof/>
        </w:rPr>
        <w:t>1.4.3.</w:t>
      </w:r>
      <w:r w:rsidRPr="001E2023">
        <w:rPr>
          <w:noProof/>
        </w:rPr>
        <w:tab/>
        <w:t>Očakávané výsledky</w:t>
      </w:r>
      <w:r w:rsidR="001E2023">
        <w:rPr>
          <w:noProof/>
        </w:rPr>
        <w:t xml:space="preserve"> a </w:t>
      </w:r>
      <w:r w:rsidRPr="001E2023">
        <w:rPr>
          <w:noProof/>
        </w:rPr>
        <w:t>vplyv</w:t>
      </w:r>
      <w:bookmarkEnd w:id="18"/>
      <w:bookmarkEnd w:id="19"/>
    </w:p>
    <w:p w14:paraId="50EAE535" w14:textId="77777777" w:rsidR="00EF7953" w:rsidRPr="001E2023" w:rsidRDefault="00EF7953">
      <w:pPr>
        <w:pStyle w:val="Text1"/>
        <w:rPr>
          <w:i/>
          <w:noProof/>
          <w:sz w:val="20"/>
        </w:rPr>
      </w:pPr>
      <w:r w:rsidRPr="001E2023">
        <w:rPr>
          <w:i/>
          <w:noProof/>
          <w:sz w:val="20"/>
        </w:rPr>
        <w:t>Uveďte, aký vplyv by mal mať návrh/iniciatíva na prijímateľov/cieľové skupiny.</w:t>
      </w:r>
    </w:p>
    <w:p w14:paraId="5E67F666" w14:textId="77777777" w:rsidR="00EF7953" w:rsidRPr="006A0C36" w:rsidRDefault="006475B1" w:rsidP="3FB47127">
      <w:pPr>
        <w:pStyle w:val="Text1"/>
        <w:pBdr>
          <w:top w:val="single" w:sz="4" w:space="1" w:color="000000"/>
          <w:left w:val="single" w:sz="4" w:space="4" w:color="000000"/>
          <w:bottom w:val="single" w:sz="4" w:space="1" w:color="000000"/>
          <w:right w:val="single" w:sz="4" w:space="4" w:color="000000"/>
        </w:pBdr>
        <w:rPr>
          <w:noProof/>
          <w:spacing w:val="-4"/>
        </w:rPr>
      </w:pPr>
      <w:r w:rsidRPr="006A0C36">
        <w:rPr>
          <w:noProof/>
          <w:spacing w:val="-4"/>
        </w:rPr>
        <w:t>Nadnárodné podniky, na ktoré sa vzťahuje smernica 2022/2523/EÚ, budú môcť používať metódu centrálneho podávania, ktorá im umožní podať jedno oznámenie</w:t>
      </w:r>
      <w:r w:rsidR="001E2023" w:rsidRPr="006A0C36">
        <w:rPr>
          <w:noProof/>
          <w:spacing w:val="-4"/>
        </w:rPr>
        <w:t xml:space="preserve"> s </w:t>
      </w:r>
      <w:r w:rsidRPr="006A0C36">
        <w:rPr>
          <w:noProof/>
          <w:spacing w:val="-4"/>
        </w:rPr>
        <w:t xml:space="preserve">informáciami na určenie dorovnávacej dane za celú skupinu. Bez tohto návrhu by </w:t>
      </w:r>
      <w:r w:rsidRPr="006A0C36">
        <w:rPr>
          <w:noProof/>
          <w:spacing w:val="-4"/>
        </w:rPr>
        <w:lastRenderedPageBreak/>
        <w:t>každý základný subjekt nadnárodného podniku musel svojim príslušným daňovým správam podávať samostatné oznámenie</w:t>
      </w:r>
      <w:r w:rsidR="001E2023" w:rsidRPr="006A0C36">
        <w:rPr>
          <w:noProof/>
          <w:spacing w:val="-4"/>
        </w:rPr>
        <w:t xml:space="preserve"> s </w:t>
      </w:r>
      <w:r w:rsidRPr="006A0C36">
        <w:rPr>
          <w:noProof/>
          <w:spacing w:val="-4"/>
        </w:rPr>
        <w:t>informáciami na určenie dorovnávacej dane.</w:t>
      </w:r>
    </w:p>
    <w:p w14:paraId="55648038" w14:textId="77777777" w:rsidR="00813006" w:rsidRPr="001E2023" w:rsidRDefault="00813006" w:rsidP="00813006">
      <w:pPr>
        <w:pStyle w:val="Text1"/>
        <w:pBdr>
          <w:top w:val="single" w:sz="4" w:space="1" w:color="auto"/>
          <w:left w:val="single" w:sz="4" w:space="4" w:color="auto"/>
          <w:bottom w:val="single" w:sz="4" w:space="1" w:color="auto"/>
          <w:right w:val="single" w:sz="4" w:space="4" w:color="auto"/>
        </w:pBdr>
        <w:rPr>
          <w:noProof/>
        </w:rPr>
      </w:pPr>
      <w:r w:rsidRPr="001E2023">
        <w:rPr>
          <w:noProof/>
        </w:rPr>
        <w:t>Centrálne podávanie oznámení výrazne znižuje administratívne zaťaženie nadnárodných podnikov, na ktoré sa vzťahuje.</w:t>
      </w:r>
    </w:p>
    <w:p w14:paraId="0B97C408" w14:textId="77777777" w:rsidR="00EF7953" w:rsidRPr="001E2023" w:rsidRDefault="00EF7953">
      <w:pPr>
        <w:pStyle w:val="ManualHeading3"/>
        <w:rPr>
          <w:noProof/>
          <w:szCs w:val="24"/>
        </w:rPr>
      </w:pPr>
      <w:bookmarkStart w:id="20" w:name="_Toc514938023"/>
      <w:bookmarkStart w:id="21" w:name="_Toc520485033"/>
      <w:r w:rsidRPr="001E2023">
        <w:rPr>
          <w:noProof/>
        </w:rPr>
        <w:t>1.4.4.</w:t>
      </w:r>
      <w:r w:rsidRPr="001E2023">
        <w:rPr>
          <w:noProof/>
        </w:rPr>
        <w:tab/>
        <w:t>Ukazovatele výkonnosti</w:t>
      </w:r>
      <w:bookmarkEnd w:id="20"/>
      <w:bookmarkEnd w:id="21"/>
    </w:p>
    <w:p w14:paraId="584818A8" w14:textId="77777777" w:rsidR="00EF7953" w:rsidRPr="001E2023" w:rsidRDefault="00EF7953">
      <w:pPr>
        <w:pStyle w:val="Text1"/>
        <w:rPr>
          <w:i/>
          <w:noProof/>
          <w:sz w:val="20"/>
        </w:rPr>
      </w:pPr>
      <w:r w:rsidRPr="001E2023">
        <w:rPr>
          <w:i/>
          <w:noProof/>
          <w:sz w:val="20"/>
        </w:rPr>
        <w:t>Uveďte ukazovatele na monitorovanie pokroku</w:t>
      </w:r>
      <w:r w:rsidR="001E2023">
        <w:rPr>
          <w:i/>
          <w:noProof/>
          <w:sz w:val="20"/>
        </w:rPr>
        <w:t xml:space="preserve"> a </w:t>
      </w:r>
      <w:r w:rsidRPr="001E2023">
        <w:rPr>
          <w:i/>
          <w:noProof/>
          <w:sz w:val="20"/>
        </w:rPr>
        <w:t>dosiahnutých výsledkov.</w:t>
      </w:r>
    </w:p>
    <w:tbl>
      <w:tblPr>
        <w:tblStyle w:val="Mriekatabuky"/>
        <w:tblW w:w="0" w:type="auto"/>
        <w:tblInd w:w="850" w:type="dxa"/>
        <w:tblLook w:val="04A0" w:firstRow="1" w:lastRow="0" w:firstColumn="1" w:lastColumn="0" w:noHBand="0" w:noVBand="1"/>
      </w:tblPr>
      <w:tblGrid>
        <w:gridCol w:w="2726"/>
        <w:gridCol w:w="2701"/>
        <w:gridCol w:w="2784"/>
      </w:tblGrid>
      <w:tr w:rsidR="00185541" w:rsidRPr="001E2023" w14:paraId="4A9BED38" w14:textId="77777777" w:rsidTr="3FB47127">
        <w:tc>
          <w:tcPr>
            <w:tcW w:w="2797" w:type="dxa"/>
          </w:tcPr>
          <w:p w14:paraId="60E6D63F" w14:textId="77777777" w:rsidR="009E3D24" w:rsidRPr="001E2023" w:rsidRDefault="009E3D24">
            <w:pPr>
              <w:pStyle w:val="Text1"/>
              <w:ind w:left="0"/>
              <w:rPr>
                <w:noProof/>
              </w:rPr>
            </w:pPr>
            <w:r w:rsidRPr="001E2023">
              <w:rPr>
                <w:noProof/>
              </w:rPr>
              <w:t>Špecifický cieľ</w:t>
            </w:r>
          </w:p>
        </w:tc>
        <w:tc>
          <w:tcPr>
            <w:tcW w:w="2769" w:type="dxa"/>
          </w:tcPr>
          <w:p w14:paraId="12B61A56" w14:textId="77777777" w:rsidR="009E3D24" w:rsidRPr="001E2023" w:rsidRDefault="009E3D24">
            <w:pPr>
              <w:pStyle w:val="Text1"/>
              <w:ind w:left="0"/>
              <w:rPr>
                <w:noProof/>
              </w:rPr>
            </w:pPr>
            <w:r w:rsidRPr="001E2023">
              <w:rPr>
                <w:noProof/>
              </w:rPr>
              <w:t>Ukazovatele</w:t>
            </w:r>
          </w:p>
        </w:tc>
        <w:tc>
          <w:tcPr>
            <w:tcW w:w="2871" w:type="dxa"/>
          </w:tcPr>
          <w:p w14:paraId="6F1D1AD9" w14:textId="77777777" w:rsidR="009E3D24" w:rsidRPr="001E2023" w:rsidRDefault="009E3D24">
            <w:pPr>
              <w:pStyle w:val="Text1"/>
              <w:ind w:left="0"/>
              <w:rPr>
                <w:noProof/>
              </w:rPr>
            </w:pPr>
            <w:r w:rsidRPr="001E2023">
              <w:rPr>
                <w:noProof/>
              </w:rPr>
              <w:t>Nástroje merania</w:t>
            </w:r>
          </w:p>
        </w:tc>
      </w:tr>
      <w:tr w:rsidR="00185541" w:rsidRPr="001E2023" w14:paraId="235F66B6" w14:textId="77777777" w:rsidTr="3FB47127">
        <w:tc>
          <w:tcPr>
            <w:tcW w:w="2797" w:type="dxa"/>
          </w:tcPr>
          <w:p w14:paraId="5AE856E2" w14:textId="77777777" w:rsidR="009E3D24" w:rsidRPr="001E2023" w:rsidRDefault="476CB7CF">
            <w:pPr>
              <w:pStyle w:val="Text1"/>
              <w:ind w:left="0"/>
              <w:rPr>
                <w:noProof/>
              </w:rPr>
            </w:pPr>
            <w:r w:rsidRPr="001E2023">
              <w:rPr>
                <w:noProof/>
              </w:rPr>
              <w:t>stanoviť jednotný vzor na podávanie oznámenia</w:t>
            </w:r>
            <w:r w:rsidR="001E2023">
              <w:rPr>
                <w:noProof/>
              </w:rPr>
              <w:t xml:space="preserve"> s </w:t>
            </w:r>
            <w:r w:rsidRPr="001E2023">
              <w:rPr>
                <w:noProof/>
              </w:rPr>
              <w:t>informáciami na určenie dorovnávacej dane</w:t>
            </w:r>
          </w:p>
        </w:tc>
        <w:tc>
          <w:tcPr>
            <w:tcW w:w="2769" w:type="dxa"/>
          </w:tcPr>
          <w:p w14:paraId="1E59F844" w14:textId="77777777" w:rsidR="009E3D24" w:rsidRPr="001E2023" w:rsidRDefault="0032384F">
            <w:pPr>
              <w:pStyle w:val="Text1"/>
              <w:ind w:left="0"/>
              <w:rPr>
                <w:noProof/>
              </w:rPr>
            </w:pPr>
            <w:r w:rsidRPr="001E2023">
              <w:rPr>
                <w:noProof/>
              </w:rPr>
              <w:t>nadnárodné podniky patriace do rozsahu pôsobnosti používajú jednotný vzor na podávanie oznámenia</w:t>
            </w:r>
            <w:r w:rsidR="001E2023">
              <w:rPr>
                <w:noProof/>
              </w:rPr>
              <w:t xml:space="preserve"> s </w:t>
            </w:r>
            <w:r w:rsidRPr="001E2023">
              <w:rPr>
                <w:noProof/>
              </w:rPr>
              <w:t>informáciami na určenie dorovnávacej dane</w:t>
            </w:r>
          </w:p>
        </w:tc>
        <w:tc>
          <w:tcPr>
            <w:tcW w:w="2871" w:type="dxa"/>
          </w:tcPr>
          <w:p w14:paraId="7C960C36" w14:textId="77777777" w:rsidR="009E3D24" w:rsidRPr="001E2023" w:rsidRDefault="009E3D24">
            <w:pPr>
              <w:pStyle w:val="Text1"/>
              <w:ind w:left="0"/>
              <w:rPr>
                <w:noProof/>
              </w:rPr>
            </w:pPr>
            <w:r w:rsidRPr="001E2023">
              <w:rPr>
                <w:noProof/>
              </w:rPr>
              <w:t>ročné posúdenie automatickej výmeny informácií (zdroj: daňové správy členských štátov)</w:t>
            </w:r>
          </w:p>
        </w:tc>
      </w:tr>
      <w:tr w:rsidR="00185541" w:rsidRPr="001E2023" w14:paraId="74282191" w14:textId="77777777" w:rsidTr="3FB47127">
        <w:tc>
          <w:tcPr>
            <w:tcW w:w="2797" w:type="dxa"/>
          </w:tcPr>
          <w:p w14:paraId="1DF40798" w14:textId="77777777" w:rsidR="009E3D24" w:rsidRPr="001E2023" w:rsidRDefault="00F57D89">
            <w:pPr>
              <w:pStyle w:val="Text1"/>
              <w:ind w:left="0"/>
              <w:rPr>
                <w:noProof/>
              </w:rPr>
            </w:pPr>
            <w:r w:rsidRPr="001E2023">
              <w:rPr>
                <w:noProof/>
              </w:rPr>
              <w:t>umožnenie metódy centrálneho podávania</w:t>
            </w:r>
          </w:p>
        </w:tc>
        <w:tc>
          <w:tcPr>
            <w:tcW w:w="2769" w:type="dxa"/>
          </w:tcPr>
          <w:p w14:paraId="35D423E4" w14:textId="77777777" w:rsidR="009E3D24" w:rsidRPr="001E2023" w:rsidRDefault="00E02E24">
            <w:pPr>
              <w:pStyle w:val="Text1"/>
              <w:ind w:left="0"/>
              <w:rPr>
                <w:noProof/>
              </w:rPr>
            </w:pPr>
            <w:r w:rsidRPr="001E2023">
              <w:rPr>
                <w:noProof/>
              </w:rPr>
              <w:t>nadnárodné podniky patriace do rozsahu pôsobnosti používajú metódu centrálneho podávania,</w:t>
            </w:r>
            <w:r w:rsidR="001E2023">
              <w:rPr>
                <w:noProof/>
              </w:rPr>
              <w:t xml:space="preserve"> a </w:t>
            </w:r>
            <w:r w:rsidRPr="001E2023">
              <w:rPr>
                <w:noProof/>
              </w:rPr>
              <w:t>nie metódu miestneho podávania</w:t>
            </w:r>
          </w:p>
        </w:tc>
        <w:tc>
          <w:tcPr>
            <w:tcW w:w="2871" w:type="dxa"/>
          </w:tcPr>
          <w:p w14:paraId="2671BB38" w14:textId="77777777" w:rsidR="009E3D24" w:rsidRPr="001E2023" w:rsidRDefault="00BF2412">
            <w:pPr>
              <w:pStyle w:val="Text1"/>
              <w:ind w:left="0"/>
              <w:rPr>
                <w:noProof/>
              </w:rPr>
            </w:pPr>
            <w:r w:rsidRPr="001E2023">
              <w:rPr>
                <w:noProof/>
              </w:rPr>
              <w:t>ročné posúdenie automatickej výmeny informácií (zdroj: daňové správy členských štátov)</w:t>
            </w:r>
          </w:p>
        </w:tc>
      </w:tr>
      <w:tr w:rsidR="00185541" w:rsidRPr="001E2023" w14:paraId="2F931EC4" w14:textId="77777777" w:rsidTr="3FB47127">
        <w:tc>
          <w:tcPr>
            <w:tcW w:w="2797" w:type="dxa"/>
          </w:tcPr>
          <w:p w14:paraId="429CA9CB" w14:textId="77777777" w:rsidR="00FC2A74" w:rsidRPr="001E2023" w:rsidRDefault="00B350C7">
            <w:pPr>
              <w:pStyle w:val="Text1"/>
              <w:ind w:left="0"/>
              <w:rPr>
                <w:noProof/>
              </w:rPr>
            </w:pPr>
            <w:r w:rsidRPr="001E2023">
              <w:rPr>
                <w:noProof/>
              </w:rPr>
              <w:t>zabezpečiť výber daňových príjmov</w:t>
            </w:r>
            <w:r w:rsidR="001E2023">
              <w:rPr>
                <w:noProof/>
              </w:rPr>
              <w:t xml:space="preserve"> v </w:t>
            </w:r>
            <w:r w:rsidRPr="001E2023">
              <w:rPr>
                <w:noProof/>
              </w:rPr>
              <w:t>členských štátoch</w:t>
            </w:r>
          </w:p>
        </w:tc>
        <w:tc>
          <w:tcPr>
            <w:tcW w:w="2769" w:type="dxa"/>
          </w:tcPr>
          <w:p w14:paraId="0F2A9CCD" w14:textId="77777777" w:rsidR="00FC2A74" w:rsidRPr="001E2023" w:rsidRDefault="00112033">
            <w:pPr>
              <w:pStyle w:val="Text1"/>
              <w:ind w:left="0"/>
              <w:rPr>
                <w:noProof/>
              </w:rPr>
            </w:pPr>
            <w:r w:rsidRPr="001E2023">
              <w:rPr>
                <w:noProof/>
              </w:rPr>
              <w:t>dodatočné daňové príjmy zabezpečené vykonávaním smernice (EÚ) 2022/2523 vďaka kontrolám umožneným kontrolou oznámenia</w:t>
            </w:r>
            <w:r w:rsidR="001E2023">
              <w:rPr>
                <w:noProof/>
              </w:rPr>
              <w:t xml:space="preserve"> s </w:t>
            </w:r>
            <w:r w:rsidRPr="001E2023">
              <w:rPr>
                <w:noProof/>
              </w:rPr>
              <w:t>informáciami na určenie dorovnávacej dane</w:t>
            </w:r>
          </w:p>
        </w:tc>
        <w:tc>
          <w:tcPr>
            <w:tcW w:w="2871" w:type="dxa"/>
          </w:tcPr>
          <w:p w14:paraId="70CE25F5" w14:textId="77777777" w:rsidR="00FC2A74" w:rsidRPr="001E2023" w:rsidRDefault="00D8648F">
            <w:pPr>
              <w:pStyle w:val="Text1"/>
              <w:ind w:left="0"/>
              <w:rPr>
                <w:noProof/>
              </w:rPr>
            </w:pPr>
            <w:r w:rsidRPr="001E2023">
              <w:rPr>
                <w:noProof/>
              </w:rPr>
              <w:t>ročné posúdenie automatickej výmeny informácií (zdroj: daňové správy členských štátov)</w:t>
            </w:r>
          </w:p>
        </w:tc>
      </w:tr>
    </w:tbl>
    <w:p w14:paraId="3A101B4C" w14:textId="77777777" w:rsidR="001E2023" w:rsidRPr="001E2023" w:rsidRDefault="00EF7953">
      <w:pPr>
        <w:pStyle w:val="ManualHeading2"/>
        <w:rPr>
          <w:noProof/>
        </w:rPr>
      </w:pPr>
      <w:bookmarkStart w:id="22" w:name="_Toc514938025"/>
      <w:bookmarkStart w:id="23" w:name="_Toc520485034"/>
      <w:r w:rsidRPr="001E2023">
        <w:rPr>
          <w:noProof/>
        </w:rPr>
        <w:t>1.5.</w:t>
      </w:r>
      <w:r w:rsidRPr="001E2023">
        <w:rPr>
          <w:noProof/>
        </w:rPr>
        <w:tab/>
        <w:t>Dôvody návrhu/iniciatívy</w:t>
      </w:r>
      <w:bookmarkEnd w:id="22"/>
      <w:bookmarkEnd w:id="23"/>
    </w:p>
    <w:p w14:paraId="16F40123" w14:textId="77777777" w:rsidR="00EF7953" w:rsidRPr="001E2023" w:rsidRDefault="00EF7953">
      <w:pPr>
        <w:pStyle w:val="ManualHeading3"/>
        <w:rPr>
          <w:noProof/>
        </w:rPr>
      </w:pPr>
      <w:bookmarkStart w:id="24" w:name="_Toc514938026"/>
      <w:bookmarkStart w:id="25" w:name="_Toc520485035"/>
      <w:r w:rsidRPr="001E2023">
        <w:rPr>
          <w:noProof/>
        </w:rPr>
        <w:t>1.5.1.</w:t>
      </w:r>
      <w:r w:rsidRPr="001E2023">
        <w:rPr>
          <w:noProof/>
        </w:rPr>
        <w:tab/>
        <w:t>Požiadavky, ktoré sa majú splniť</w:t>
      </w:r>
      <w:r w:rsidR="001E2023">
        <w:rPr>
          <w:noProof/>
        </w:rPr>
        <w:t xml:space="preserve"> v </w:t>
      </w:r>
      <w:r w:rsidRPr="001E2023">
        <w:rPr>
          <w:noProof/>
        </w:rPr>
        <w:t>krátkodobom alebo dlhodobom horizonte vrátane podrobného harmonogramu prvotnej fázy vykonávania iniciatívy</w:t>
      </w:r>
      <w:bookmarkEnd w:id="24"/>
      <w:bookmarkEnd w:id="25"/>
    </w:p>
    <w:p w14:paraId="29DC5CFB" w14:textId="77777777" w:rsidR="00EF7953" w:rsidRPr="001E2023" w:rsidRDefault="004C339F"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V návrhu sa využijú praktické opatrenia, ktoré sa</w:t>
      </w:r>
      <w:r w:rsidR="001E2023">
        <w:rPr>
          <w:noProof/>
        </w:rPr>
        <w:t xml:space="preserve"> v </w:t>
      </w:r>
      <w:r w:rsidRPr="001E2023">
        <w:rPr>
          <w:noProof/>
        </w:rPr>
        <w:t>súčasnosti využívajú podľa DAC. Prostredníctvom vykonávacieho aktu sa stanoví osobitná schéma automatickej výmeny oznámenia</w:t>
      </w:r>
      <w:r w:rsidR="001E2023">
        <w:rPr>
          <w:noProof/>
        </w:rPr>
        <w:t xml:space="preserve"> s </w:t>
      </w:r>
      <w:r w:rsidRPr="001E2023">
        <w:rPr>
          <w:noProof/>
        </w:rPr>
        <w:t>informáciami na určenie dorovnávacej dane.</w:t>
      </w:r>
    </w:p>
    <w:p w14:paraId="05E7C4AE" w14:textId="77777777" w:rsidR="001E2023" w:rsidRPr="001E2023" w:rsidRDefault="005D1992"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Prvý finančný rok uplatňovania smernice 2022/2523/EÚ je rok 2024</w:t>
      </w:r>
      <w:r w:rsidR="001E2023">
        <w:rPr>
          <w:noProof/>
        </w:rPr>
        <w:t xml:space="preserve"> a </w:t>
      </w:r>
      <w:r w:rsidRPr="001E2023">
        <w:rPr>
          <w:noProof/>
        </w:rPr>
        <w:t>skupiny, na ktoré sa smernica vzťahuje, by mali podať oznámenie</w:t>
      </w:r>
      <w:r w:rsidR="001E2023">
        <w:rPr>
          <w:noProof/>
        </w:rPr>
        <w:t xml:space="preserve"> s </w:t>
      </w:r>
      <w:r w:rsidRPr="001E2023">
        <w:rPr>
          <w:noProof/>
        </w:rPr>
        <w:t>informáciami na určenie dorovnávacej dane najneskôr 15 mesiacov po skončení finančného roka [článok 44 ods. 7 smernice (EÚ) 2022/2523]. Členské štáty by mali poslať prvé informácie najneskôr do šiestich mesiacov od dátumu vnútroštátneho oznamovania</w:t>
      </w:r>
      <w:r w:rsidR="001E2023" w:rsidRPr="001E2023">
        <w:rPr>
          <w:noProof/>
        </w:rPr>
        <w:t>.</w:t>
      </w:r>
    </w:p>
    <w:p w14:paraId="2771033B" w14:textId="77777777" w:rsidR="00EF7953" w:rsidRPr="001E2023" w:rsidRDefault="00EF7953">
      <w:pPr>
        <w:pStyle w:val="ManualHeading3"/>
        <w:rPr>
          <w:bCs/>
          <w:noProof/>
          <w:szCs w:val="24"/>
        </w:rPr>
      </w:pPr>
      <w:bookmarkStart w:id="26" w:name="_Toc514938029"/>
      <w:bookmarkStart w:id="27" w:name="_Toc520485036"/>
      <w:r w:rsidRPr="001E2023">
        <w:rPr>
          <w:noProof/>
        </w:rPr>
        <w:lastRenderedPageBreak/>
        <w:t>1.5.2.</w:t>
      </w:r>
      <w:r w:rsidRPr="001E2023">
        <w:rPr>
          <w:noProof/>
        </w:rPr>
        <w:tab/>
        <w:t>Prínos zapojenia Únie (môže byť výsledkom rôznych faktorov, napr. lepšej koordinácie, právnej istoty, väčšej účinnosti alebo komplementárnosti). Na účely tohto bodu je „prínos zapojenia Únie“ hodnota vyplývajúca zo zásahu Únie, ktorá dopĺňa hodnotu, ktorú by inak vytvorili len samotné členské štáty.</w:t>
      </w:r>
      <w:bookmarkEnd w:id="26"/>
      <w:bookmarkEnd w:id="27"/>
    </w:p>
    <w:p w14:paraId="3595B4DE" w14:textId="77777777" w:rsidR="00AE2921" w:rsidRPr="001E2023" w:rsidRDefault="004B0940"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Činnosť na úrovni EÚ prinesie</w:t>
      </w:r>
      <w:r w:rsidR="001E2023">
        <w:rPr>
          <w:noProof/>
        </w:rPr>
        <w:t xml:space="preserve"> v </w:t>
      </w:r>
      <w:r w:rsidRPr="001E2023">
        <w:rPr>
          <w:noProof/>
        </w:rPr>
        <w:t>porovnaní</w:t>
      </w:r>
      <w:r w:rsidR="001E2023">
        <w:rPr>
          <w:noProof/>
        </w:rPr>
        <w:t xml:space="preserve"> s </w:t>
      </w:r>
      <w:r w:rsidRPr="001E2023">
        <w:rPr>
          <w:noProof/>
        </w:rPr>
        <w:t>iniciatívami jednotlivých členských štátov</w:t>
      </w:r>
      <w:r w:rsidR="001E2023">
        <w:rPr>
          <w:noProof/>
        </w:rPr>
        <w:t xml:space="preserve"> v </w:t>
      </w:r>
      <w:r w:rsidRPr="001E2023">
        <w:rPr>
          <w:noProof/>
        </w:rPr>
        <w:t>tejto oblasti pridanú hodnotu. Rada prijala smernicu (EÚ) 2022/2523,</w:t>
      </w:r>
      <w:r w:rsidR="001E2023">
        <w:rPr>
          <w:noProof/>
        </w:rPr>
        <w:t xml:space="preserve"> v </w:t>
      </w:r>
      <w:r w:rsidRPr="001E2023">
        <w:rPr>
          <w:noProof/>
        </w:rPr>
        <w:t>ktorej sa stanovujú hmotnoprávne pravidlá výpočtu daňových povinností nadnárodných podnikov patriacich do rozsahu pôsobnosti smernice. Aby nedošlo</w:t>
      </w:r>
      <w:r w:rsidR="001E2023">
        <w:rPr>
          <w:noProof/>
        </w:rPr>
        <w:t xml:space="preserve"> k </w:t>
      </w:r>
      <w:r w:rsidRPr="001E2023">
        <w:rPr>
          <w:noProof/>
        </w:rPr>
        <w:t>strate harmonizácie pravidiel vo fáze vykonávania, je potrebné zabezpečiť opatrenia na úrovni EÚ aj</w:t>
      </w:r>
      <w:r w:rsidR="001E2023">
        <w:rPr>
          <w:noProof/>
        </w:rPr>
        <w:t xml:space="preserve"> v </w:t>
      </w:r>
      <w:r w:rsidRPr="001E2023">
        <w:rPr>
          <w:noProof/>
        </w:rPr>
        <w:t>súvislosti so vzormi na podávanie oznámení.</w:t>
      </w:r>
    </w:p>
    <w:p w14:paraId="4B487899" w14:textId="77777777" w:rsidR="00EF7953" w:rsidRPr="001E2023" w:rsidRDefault="00D461FD"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Okrem toho bez vytvorenia rámca pre výmenu informácií by nadnárodné podniky, na ktoré sa vzťahujú tieto pravidlá, čelili požiadavkám na miestne podávanie informácií</w:t>
      </w:r>
      <w:r w:rsidR="001E2023">
        <w:rPr>
          <w:noProof/>
        </w:rPr>
        <w:t xml:space="preserve"> a </w:t>
      </w:r>
      <w:r w:rsidRPr="001E2023">
        <w:rPr>
          <w:noProof/>
        </w:rPr>
        <w:t>oznámení, ktoré by samostatne stanovili jednotlivé členské štáty, čo by znamenalo, že každý zo základných subjektov skupiny by musel poskytovať svojim príslušným miestnym daňovým správam úplné informácie za skupinu, čo by</w:t>
      </w:r>
      <w:r w:rsidR="001E2023">
        <w:rPr>
          <w:noProof/>
        </w:rPr>
        <w:t xml:space="preserve"> v </w:t>
      </w:r>
      <w:r w:rsidRPr="001E2023">
        <w:rPr>
          <w:noProof/>
        </w:rPr>
        <w:t>niektorých prípadoch mohlo byť nesplniteľnou povinnosťou. Opatrenia EÚ sú preto nevyhnutné, keďže rámec výmeny informácií nemožno zabezpečiť na úrovni členských štátov.</w:t>
      </w:r>
    </w:p>
    <w:p w14:paraId="36475827" w14:textId="77777777" w:rsidR="00EF7953" w:rsidRPr="001E2023" w:rsidRDefault="00EF7953">
      <w:pPr>
        <w:pStyle w:val="ManualHeading3"/>
        <w:rPr>
          <w:noProof/>
        </w:rPr>
      </w:pPr>
      <w:bookmarkStart w:id="28" w:name="_Toc514938030"/>
      <w:bookmarkStart w:id="29" w:name="_Toc520485037"/>
      <w:r w:rsidRPr="001E2023">
        <w:rPr>
          <w:noProof/>
        </w:rPr>
        <w:t>1.5.3.</w:t>
      </w:r>
      <w:r w:rsidRPr="001E2023">
        <w:rPr>
          <w:noProof/>
        </w:rPr>
        <w:tab/>
        <w:t>Poznatky získané</w:t>
      </w:r>
      <w:r w:rsidR="001E2023">
        <w:rPr>
          <w:noProof/>
        </w:rPr>
        <w:t xml:space="preserve"> z </w:t>
      </w:r>
      <w:r w:rsidRPr="001E2023">
        <w:rPr>
          <w:noProof/>
        </w:rPr>
        <w:t>podobných skúseností</w:t>
      </w:r>
      <w:r w:rsidR="001E2023">
        <w:rPr>
          <w:noProof/>
        </w:rPr>
        <w:t xml:space="preserve"> v </w:t>
      </w:r>
      <w:r w:rsidRPr="001E2023">
        <w:rPr>
          <w:noProof/>
        </w:rPr>
        <w:t>minulosti</w:t>
      </w:r>
      <w:bookmarkEnd w:id="28"/>
      <w:bookmarkEnd w:id="29"/>
    </w:p>
    <w:p w14:paraId="6A0DB073" w14:textId="77777777" w:rsidR="00EF7953" w:rsidRPr="001E2023" w:rsidRDefault="0090512D"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Vykazovanie podľa jednotlivých krajín, ktoré je už zahrnuté</w:t>
      </w:r>
      <w:r w:rsidR="001E2023">
        <w:rPr>
          <w:noProof/>
        </w:rPr>
        <w:t xml:space="preserve"> v </w:t>
      </w:r>
      <w:r w:rsidRPr="001E2023">
        <w:rPr>
          <w:noProof/>
        </w:rPr>
        <w:t>smernici 2011/16/EÚ</w:t>
      </w:r>
      <w:r w:rsidR="001E2023">
        <w:rPr>
          <w:noProof/>
        </w:rPr>
        <w:t xml:space="preserve"> v </w:t>
      </w:r>
      <w:r w:rsidRPr="001E2023">
        <w:rPr>
          <w:noProof/>
        </w:rPr>
        <w:t>znení zmien, vyžaduje od nadnárodných podnikov patriacich do rozsahu pôsobnosti podávanie správ na veľmi vysokej úrovni. Takéto údaje sa môžu použiť len na účely riadenia rizík</w:t>
      </w:r>
      <w:r w:rsidR="001E2023">
        <w:rPr>
          <w:noProof/>
        </w:rPr>
        <w:t xml:space="preserve"> a </w:t>
      </w:r>
      <w:r w:rsidRPr="001E2023">
        <w:rPr>
          <w:noProof/>
        </w:rPr>
        <w:t>samy osebe neumožňujú žiadne dodatočné zdanenie. Nový rámec</w:t>
      </w:r>
      <w:r w:rsidR="001E2023">
        <w:rPr>
          <w:noProof/>
        </w:rPr>
        <w:t xml:space="preserve"> v </w:t>
      </w:r>
      <w:r w:rsidRPr="001E2023">
        <w:rPr>
          <w:noProof/>
        </w:rPr>
        <w:t>smernici (EÚ) 2022/2523 trvá na minimálnej úrovni zdanenia nadnárodných podnikov, na ktoré sa vzťahuje. Týmto návrhom sa zabezpečuje primeraný vykonávací rámec, aby členské štáty mohli získať informácie potrebné na kontrolu</w:t>
      </w:r>
      <w:r w:rsidR="001E2023">
        <w:rPr>
          <w:noProof/>
        </w:rPr>
        <w:t xml:space="preserve"> a </w:t>
      </w:r>
      <w:r w:rsidRPr="001E2023">
        <w:rPr>
          <w:noProof/>
        </w:rPr>
        <w:t>výber požadovanej minimálnej úrovne splatných daní.</w:t>
      </w:r>
    </w:p>
    <w:p w14:paraId="2A371547" w14:textId="77777777" w:rsidR="00EF7953" w:rsidRPr="001E2023" w:rsidRDefault="00EF7953">
      <w:pPr>
        <w:pStyle w:val="ManualHeading3"/>
        <w:rPr>
          <w:noProof/>
        </w:rPr>
      </w:pPr>
      <w:bookmarkStart w:id="30" w:name="_Toc514938033"/>
      <w:bookmarkStart w:id="31" w:name="_Toc520485038"/>
      <w:r w:rsidRPr="001E2023">
        <w:rPr>
          <w:noProof/>
        </w:rPr>
        <w:t>1.5.4.</w:t>
      </w:r>
      <w:r w:rsidRPr="001E2023">
        <w:rPr>
          <w:noProof/>
        </w:rPr>
        <w:tab/>
        <w:t>Zlučiteľnosť</w:t>
      </w:r>
      <w:r w:rsidR="001E2023">
        <w:rPr>
          <w:noProof/>
        </w:rPr>
        <w:t xml:space="preserve"> s </w:t>
      </w:r>
      <w:r w:rsidRPr="001E2023">
        <w:rPr>
          <w:noProof/>
        </w:rPr>
        <w:t>viacročným finančným rámcom</w:t>
      </w:r>
      <w:r w:rsidR="001E2023">
        <w:rPr>
          <w:noProof/>
        </w:rPr>
        <w:t xml:space="preserve"> a </w:t>
      </w:r>
      <w:r w:rsidRPr="001E2023">
        <w:rPr>
          <w:noProof/>
        </w:rPr>
        <w:t>možná synergia</w:t>
      </w:r>
      <w:r w:rsidR="001E2023">
        <w:rPr>
          <w:noProof/>
        </w:rPr>
        <w:t xml:space="preserve"> s </w:t>
      </w:r>
      <w:r w:rsidRPr="001E2023">
        <w:rPr>
          <w:noProof/>
        </w:rPr>
        <w:t>inými vhodnými nástrojmi</w:t>
      </w:r>
      <w:bookmarkEnd w:id="30"/>
      <w:bookmarkEnd w:id="31"/>
    </w:p>
    <w:p w14:paraId="1E38150B" w14:textId="77777777" w:rsidR="00EF7953" w:rsidRPr="001E2023" w:rsidRDefault="00B46732" w:rsidP="3FB47127">
      <w:pPr>
        <w:pStyle w:val="Text1"/>
        <w:pBdr>
          <w:top w:val="single" w:sz="4" w:space="1" w:color="auto"/>
          <w:left w:val="single" w:sz="4" w:space="4" w:color="auto"/>
          <w:bottom w:val="single" w:sz="4" w:space="1" w:color="auto"/>
          <w:right w:val="single" w:sz="4" w:space="4" w:color="auto"/>
        </w:pBdr>
        <w:rPr>
          <w:noProof/>
        </w:rPr>
      </w:pPr>
      <w:r w:rsidRPr="001E2023">
        <w:rPr>
          <w:noProof/>
        </w:rPr>
        <w:t>Keďže tento návrh je určený na zmenu smernice 2011/16/EÚ</w:t>
      </w:r>
      <w:r w:rsidR="001E2023">
        <w:rPr>
          <w:noProof/>
        </w:rPr>
        <w:t xml:space="preserve"> o </w:t>
      </w:r>
      <w:r w:rsidRPr="001E2023">
        <w:rPr>
          <w:noProof/>
        </w:rPr>
        <w:t>administratívnej spolupráci, postupy, opatrenia</w:t>
      </w:r>
      <w:r w:rsidR="001E2023">
        <w:rPr>
          <w:noProof/>
        </w:rPr>
        <w:t xml:space="preserve"> a </w:t>
      </w:r>
      <w:r w:rsidRPr="001E2023">
        <w:rPr>
          <w:noProof/>
        </w:rPr>
        <w:t>IT nástroje, ktoré sa</w:t>
      </w:r>
      <w:r w:rsidR="001E2023">
        <w:rPr>
          <w:noProof/>
        </w:rPr>
        <w:t xml:space="preserve"> v </w:t>
      </w:r>
      <w:r w:rsidRPr="001E2023">
        <w:rPr>
          <w:noProof/>
        </w:rPr>
        <w:t>rámci uvedenej smernice zaviedli alebo sa vyvíjajú, budú</w:t>
      </w:r>
      <w:r w:rsidR="001E2023">
        <w:rPr>
          <w:noProof/>
        </w:rPr>
        <w:t xml:space="preserve"> k </w:t>
      </w:r>
      <w:r w:rsidRPr="001E2023">
        <w:rPr>
          <w:noProof/>
        </w:rPr>
        <w:t>dispozícii na účely tohto návrhu.</w:t>
      </w:r>
    </w:p>
    <w:p w14:paraId="688C0F13" w14:textId="77777777" w:rsidR="00EF7953" w:rsidRPr="001E2023" w:rsidRDefault="00EF7953">
      <w:pPr>
        <w:pStyle w:val="ManualHeading3"/>
        <w:rPr>
          <w:noProof/>
        </w:rPr>
      </w:pPr>
      <w:bookmarkStart w:id="32" w:name="_Toc514938036"/>
      <w:bookmarkStart w:id="33" w:name="_Toc520485039"/>
      <w:r w:rsidRPr="001E2023">
        <w:rPr>
          <w:noProof/>
        </w:rPr>
        <w:t>1.5.5.</w:t>
      </w:r>
      <w:r w:rsidRPr="001E2023">
        <w:rPr>
          <w:noProof/>
        </w:rPr>
        <w:tab/>
        <w:t>Posúdenie rôznych disponibilných možností financovania vrátane možnosti prerozdelenia</w:t>
      </w:r>
      <w:bookmarkEnd w:id="32"/>
      <w:bookmarkEnd w:id="33"/>
    </w:p>
    <w:p w14:paraId="602B4210" w14:textId="77777777" w:rsidR="001E2023" w:rsidRPr="001E2023" w:rsidRDefault="00B67DD9" w:rsidP="3FB47127">
      <w:pPr>
        <w:pStyle w:val="Text1"/>
        <w:pBdr>
          <w:top w:val="single" w:sz="4" w:space="1" w:color="auto"/>
          <w:left w:val="single" w:sz="4" w:space="4" w:color="auto"/>
          <w:bottom w:val="single" w:sz="4" w:space="1" w:color="auto"/>
          <w:right w:val="single" w:sz="4" w:space="4" w:color="auto"/>
        </w:pBdr>
        <w:rPr>
          <w:noProof/>
        </w:rPr>
      </w:pPr>
      <w:r w:rsidRPr="001E2023">
        <w:rPr>
          <w:noProof/>
        </w:rPr>
        <w:t>Náklady na realizáciu iniciatívy budú financované</w:t>
      </w:r>
      <w:r w:rsidR="001E2023">
        <w:rPr>
          <w:noProof/>
        </w:rPr>
        <w:t xml:space="preserve"> z </w:t>
      </w:r>
      <w:r w:rsidRPr="001E2023">
        <w:rPr>
          <w:noProof/>
        </w:rPr>
        <w:t>rozpočtu EÚ len</w:t>
      </w:r>
      <w:r w:rsidR="001E2023">
        <w:rPr>
          <w:noProof/>
        </w:rPr>
        <w:t xml:space="preserve"> v </w:t>
      </w:r>
      <w:r w:rsidRPr="001E2023">
        <w:rPr>
          <w:noProof/>
        </w:rPr>
        <w:t>rozsahu,</w:t>
      </w:r>
      <w:r w:rsidR="001E2023">
        <w:rPr>
          <w:noProof/>
        </w:rPr>
        <w:t xml:space="preserve"> v </w:t>
      </w:r>
      <w:r w:rsidRPr="001E2023">
        <w:rPr>
          <w:noProof/>
        </w:rPr>
        <w:t>akom sa týkajú centrálnych prvkov systému automatickej výmeny informácií. Inak budú musieť predpokladané opatrenia vykonávať členské štáty</w:t>
      </w:r>
      <w:r w:rsidR="001E2023" w:rsidRPr="001E2023">
        <w:rPr>
          <w:noProof/>
        </w:rPr>
        <w:t>.</w:t>
      </w:r>
    </w:p>
    <w:p w14:paraId="76924ACF" w14:textId="77777777" w:rsidR="00EF7953" w:rsidRPr="001E2023" w:rsidRDefault="00EF7953">
      <w:pPr>
        <w:pStyle w:val="ManualHeading2"/>
        <w:rPr>
          <w:bCs/>
          <w:noProof/>
          <w:szCs w:val="24"/>
        </w:rPr>
      </w:pPr>
      <w:r w:rsidRPr="001E2023">
        <w:rPr>
          <w:noProof/>
        </w:rPr>
        <w:br w:type="page"/>
      </w:r>
      <w:bookmarkStart w:id="34" w:name="_Toc514938039"/>
      <w:bookmarkStart w:id="35" w:name="_Toc520485040"/>
      <w:r w:rsidRPr="001E2023">
        <w:rPr>
          <w:noProof/>
        </w:rPr>
        <w:lastRenderedPageBreak/>
        <w:t>1.6.</w:t>
      </w:r>
      <w:r w:rsidRPr="001E2023">
        <w:rPr>
          <w:noProof/>
        </w:rPr>
        <w:tab/>
        <w:t>Trvanie</w:t>
      </w:r>
      <w:r w:rsidR="001E2023">
        <w:rPr>
          <w:noProof/>
        </w:rPr>
        <w:t xml:space="preserve"> a </w:t>
      </w:r>
      <w:r w:rsidRPr="001E2023">
        <w:rPr>
          <w:noProof/>
        </w:rPr>
        <w:t>finančný vplyv návrhu/iniciatívy</w:t>
      </w:r>
      <w:bookmarkEnd w:id="34"/>
      <w:bookmarkEnd w:id="35"/>
    </w:p>
    <w:p w14:paraId="654CCFB9" w14:textId="77777777" w:rsidR="001E2023" w:rsidRPr="001E2023" w:rsidRDefault="00EF7953">
      <w:pPr>
        <w:pStyle w:val="Text1"/>
        <w:rPr>
          <w:b/>
          <w:noProof/>
        </w:rPr>
      </w:pPr>
      <w:r w:rsidRPr="001E2023">
        <w:rPr>
          <w:rFonts w:ascii="Wingdings" w:hAnsi="Wingdings"/>
          <w:noProof/>
        </w:rPr>
        <w:t></w:t>
      </w:r>
      <w:r w:rsidRPr="001E2023">
        <w:rPr>
          <w:noProof/>
        </w:rPr>
        <w:t xml:space="preserve"> </w:t>
      </w:r>
      <w:r w:rsidRPr="001E2023">
        <w:rPr>
          <w:b/>
          <w:noProof/>
        </w:rPr>
        <w:t>obmedzené trvanie</w:t>
      </w:r>
    </w:p>
    <w:p w14:paraId="4EC9D508" w14:textId="77777777" w:rsidR="001E2023" w:rsidRPr="001E2023" w:rsidRDefault="00EF7953">
      <w:pPr>
        <w:pStyle w:val="ListDash2"/>
        <w:rPr>
          <w:noProof/>
        </w:rPr>
      </w:pPr>
      <w:r w:rsidRPr="001E2023">
        <w:rPr>
          <w:rFonts w:ascii="Wingdings" w:hAnsi="Wingdings"/>
          <w:noProof/>
        </w:rPr>
        <w:t></w:t>
      </w:r>
      <w:r w:rsidRPr="001E2023">
        <w:rPr>
          <w:noProof/>
        </w:rPr>
        <w:tab/>
        <w:t>v platnosti od [DD/MM]RRRR do [DD/MM]RRRR</w:t>
      </w:r>
    </w:p>
    <w:p w14:paraId="2FFE722B" w14:textId="77777777" w:rsidR="001E2023" w:rsidRPr="001E2023" w:rsidRDefault="00EF7953">
      <w:pPr>
        <w:pStyle w:val="ListDash2"/>
        <w:rPr>
          <w:noProof/>
        </w:rPr>
      </w:pPr>
      <w:r w:rsidRPr="001E2023">
        <w:rPr>
          <w:rFonts w:ascii="Wingdings" w:hAnsi="Wingdings"/>
          <w:noProof/>
        </w:rPr>
        <w:t></w:t>
      </w:r>
      <w:r w:rsidRPr="001E2023">
        <w:rPr>
          <w:noProof/>
        </w:rPr>
        <w:tab/>
        <w:t>finančný vplyv na viazané rozpočtové prostriedky od RRRR do RRRR</w:t>
      </w:r>
      <w:r w:rsidR="001E2023">
        <w:rPr>
          <w:noProof/>
        </w:rPr>
        <w:t xml:space="preserve"> a </w:t>
      </w:r>
      <w:r w:rsidRPr="001E2023">
        <w:rPr>
          <w:noProof/>
        </w:rPr>
        <w:t>na platobné rozpočtové prostriedky od RRRR do RRRR</w:t>
      </w:r>
    </w:p>
    <w:p w14:paraId="4F6EA26D" w14:textId="77777777" w:rsidR="00EF7953" w:rsidRPr="001E2023" w:rsidRDefault="00541013">
      <w:pPr>
        <w:pStyle w:val="Text1"/>
        <w:rPr>
          <w:noProof/>
        </w:rPr>
      </w:pPr>
      <w:sdt>
        <w:sdtPr>
          <w:rPr>
            <w:b/>
            <w:iCs/>
            <w:noProof/>
          </w:rPr>
          <w:id w:val="356935553"/>
          <w14:checkbox>
            <w14:checked w14:val="1"/>
            <w14:checkedState w14:val="2612" w14:font="MS Gothic"/>
            <w14:uncheckedState w14:val="2610" w14:font="MS Gothic"/>
          </w14:checkbox>
        </w:sdtPr>
        <w:sdtEndPr/>
        <w:sdtContent>
          <w:r w:rsidR="00C532DC" w:rsidRPr="001E2023">
            <w:rPr>
              <w:rFonts w:ascii="MS Gothic" w:eastAsia="MS Gothic" w:hAnsi="MS Gothic"/>
              <w:b/>
              <w:iCs/>
              <w:noProof/>
            </w:rPr>
            <w:t>☒</w:t>
          </w:r>
        </w:sdtContent>
      </w:sdt>
      <w:r w:rsidR="00B21B48" w:rsidRPr="001E2023">
        <w:rPr>
          <w:b/>
          <w:i/>
          <w:noProof/>
        </w:rPr>
        <w:t xml:space="preserve"> </w:t>
      </w:r>
      <w:r w:rsidR="00B21B48" w:rsidRPr="001E2023">
        <w:rPr>
          <w:b/>
          <w:noProof/>
        </w:rPr>
        <w:t>neobmedzené trvanie</w:t>
      </w:r>
    </w:p>
    <w:p w14:paraId="625A2263" w14:textId="77777777" w:rsidR="00EF7953" w:rsidRPr="001E2023" w:rsidRDefault="00EF7953">
      <w:pPr>
        <w:pStyle w:val="ListDash1"/>
        <w:rPr>
          <w:noProof/>
        </w:rPr>
      </w:pPr>
      <w:r w:rsidRPr="001E2023">
        <w:rPr>
          <w:noProof/>
        </w:rPr>
        <w:t>Počiatočná fáza vykonávania bude trvať od 2024</w:t>
      </w:r>
    </w:p>
    <w:p w14:paraId="36E6144B" w14:textId="77777777" w:rsidR="00EF7953" w:rsidRPr="001E2023" w:rsidRDefault="00EF7953">
      <w:pPr>
        <w:pStyle w:val="ListDash1"/>
        <w:rPr>
          <w:noProof/>
        </w:rPr>
      </w:pPr>
      <w:r w:rsidRPr="001E2023">
        <w:rPr>
          <w:noProof/>
        </w:rPr>
        <w:t>potom bude vykonávanie pokračovať</w:t>
      </w:r>
      <w:r w:rsidR="001E2023">
        <w:rPr>
          <w:noProof/>
        </w:rPr>
        <w:t xml:space="preserve"> v </w:t>
      </w:r>
      <w:r w:rsidRPr="001E2023">
        <w:rPr>
          <w:noProof/>
        </w:rPr>
        <w:t>plnom rozsahu od roku 2026.</w:t>
      </w:r>
    </w:p>
    <w:p w14:paraId="33A56367" w14:textId="77777777" w:rsidR="001E2023" w:rsidRPr="001E2023" w:rsidRDefault="00EF7953">
      <w:pPr>
        <w:pStyle w:val="ManualHeading2"/>
        <w:rPr>
          <w:rStyle w:val="Odkaznapoznmkupodiarou"/>
          <w:noProof/>
        </w:rPr>
      </w:pPr>
      <w:bookmarkStart w:id="36" w:name="_Toc514938040"/>
      <w:bookmarkStart w:id="37" w:name="_Toc520485041"/>
      <w:r w:rsidRPr="001E2023">
        <w:rPr>
          <w:noProof/>
        </w:rPr>
        <w:t>1.7.</w:t>
      </w:r>
      <w:r w:rsidRPr="001E2023">
        <w:rPr>
          <w:noProof/>
        </w:rPr>
        <w:tab/>
        <w:t>Plánované metódy plnenia rozpočtu</w:t>
      </w:r>
      <w:bookmarkEnd w:id="36"/>
      <w:bookmarkEnd w:id="37"/>
    </w:p>
    <w:p w14:paraId="6AE33E4E" w14:textId="77777777" w:rsidR="00EF7953" w:rsidRPr="001E2023" w:rsidRDefault="00541013">
      <w:pPr>
        <w:pStyle w:val="Text1"/>
        <w:rPr>
          <w:noProof/>
        </w:rPr>
      </w:pPr>
      <w:sdt>
        <w:sdtPr>
          <w:rPr>
            <w:rFonts w:ascii="Wingdings" w:eastAsia="Wingdings" w:hAnsi="Wingdings" w:cs="Wingdings"/>
            <w:noProof/>
          </w:rPr>
          <w:id w:val="1187799322"/>
          <w14:checkbox>
            <w14:checked w14:val="1"/>
            <w14:checkedState w14:val="2612" w14:font="MS Gothic"/>
            <w14:uncheckedState w14:val="2610" w14:font="MS Gothic"/>
          </w14:checkbox>
        </w:sdtPr>
        <w:sdtEndPr/>
        <w:sdtContent>
          <w:r w:rsidR="004E000E" w:rsidRPr="001E2023">
            <w:rPr>
              <w:rFonts w:ascii="MS Gothic" w:eastAsia="MS Gothic" w:hAnsi="MS Gothic" w:cs="Wingdings"/>
              <w:noProof/>
            </w:rPr>
            <w:t>☒</w:t>
          </w:r>
        </w:sdtContent>
      </w:sdt>
      <w:r w:rsidR="00B21B48" w:rsidRPr="001E2023">
        <w:rPr>
          <w:i/>
          <w:noProof/>
        </w:rPr>
        <w:t xml:space="preserve"> </w:t>
      </w:r>
      <w:r w:rsidR="00B21B48" w:rsidRPr="001E2023">
        <w:rPr>
          <w:b/>
          <w:noProof/>
        </w:rPr>
        <w:t>Priame riadenie</w:t>
      </w:r>
      <w:r w:rsidR="00B21B48" w:rsidRPr="001E2023">
        <w:rPr>
          <w:noProof/>
        </w:rPr>
        <w:t xml:space="preserve"> na úrovni Komisie</w:t>
      </w:r>
    </w:p>
    <w:p w14:paraId="2ADA3903" w14:textId="77777777" w:rsidR="001E2023" w:rsidRPr="001E2023" w:rsidRDefault="00EF7953">
      <w:pPr>
        <w:pStyle w:val="ListDash2"/>
        <w:rPr>
          <w:noProof/>
        </w:rPr>
      </w:pPr>
      <w:r w:rsidRPr="001E2023">
        <w:rPr>
          <w:rFonts w:ascii="Wingdings" w:hAnsi="Wingdings"/>
          <w:noProof/>
        </w:rPr>
        <w:t></w:t>
      </w:r>
      <w:r w:rsidRPr="001E2023">
        <w:rPr>
          <w:noProof/>
        </w:rPr>
        <w:t xml:space="preserve"> prostredníctvom jej útvarov vrátane zamestnancov</w:t>
      </w:r>
      <w:r w:rsidR="001E2023">
        <w:rPr>
          <w:noProof/>
        </w:rPr>
        <w:t xml:space="preserve"> v </w:t>
      </w:r>
      <w:r w:rsidRPr="001E2023">
        <w:rPr>
          <w:noProof/>
        </w:rPr>
        <w:t>delegáciách Únie,</w:t>
      </w:r>
    </w:p>
    <w:p w14:paraId="10C9F98A" w14:textId="77777777" w:rsidR="001E2023" w:rsidRPr="001E2023" w:rsidRDefault="00EF7953">
      <w:pPr>
        <w:pStyle w:val="ListDash2"/>
        <w:rPr>
          <w:noProof/>
        </w:rPr>
      </w:pPr>
      <w:r w:rsidRPr="001E2023">
        <w:rPr>
          <w:rFonts w:ascii="Wingdings" w:hAnsi="Wingdings"/>
          <w:noProof/>
        </w:rPr>
        <w:t></w:t>
      </w:r>
      <w:r w:rsidRPr="001E2023">
        <w:rPr>
          <w:noProof/>
        </w:rPr>
        <w:tab/>
        <w:t>prostredníctvom výkonných agentúr</w:t>
      </w:r>
    </w:p>
    <w:p w14:paraId="2F76E79E" w14:textId="77777777" w:rsidR="001E2023" w:rsidRPr="001E2023" w:rsidRDefault="00EF7953">
      <w:pPr>
        <w:pStyle w:val="Text1"/>
        <w:rPr>
          <w:noProof/>
        </w:rPr>
      </w:pPr>
      <w:r w:rsidRPr="001E2023">
        <w:rPr>
          <w:rFonts w:ascii="Wingdings" w:hAnsi="Wingdings"/>
          <w:noProof/>
        </w:rPr>
        <w:t></w:t>
      </w:r>
      <w:r w:rsidRPr="001E2023">
        <w:rPr>
          <w:b/>
          <w:i/>
          <w:noProof/>
        </w:rPr>
        <w:t xml:space="preserve"> </w:t>
      </w:r>
      <w:r w:rsidRPr="001E2023">
        <w:rPr>
          <w:b/>
          <w:noProof/>
        </w:rPr>
        <w:t>Zdieľané riadenie</w:t>
      </w:r>
      <w:r w:rsidR="001E2023">
        <w:rPr>
          <w:noProof/>
        </w:rPr>
        <w:t xml:space="preserve"> s </w:t>
      </w:r>
      <w:r w:rsidRPr="001E2023">
        <w:rPr>
          <w:noProof/>
        </w:rPr>
        <w:t>členskými štátmi</w:t>
      </w:r>
    </w:p>
    <w:p w14:paraId="7FA072FC" w14:textId="77777777" w:rsidR="00EF7953" w:rsidRPr="001E2023" w:rsidRDefault="00EF7953">
      <w:pPr>
        <w:pStyle w:val="Text1"/>
        <w:rPr>
          <w:noProof/>
        </w:rPr>
      </w:pPr>
      <w:r w:rsidRPr="001E2023">
        <w:rPr>
          <w:rFonts w:ascii="Wingdings" w:hAnsi="Wingdings"/>
          <w:noProof/>
        </w:rPr>
        <w:t></w:t>
      </w:r>
      <w:r w:rsidRPr="001E2023">
        <w:rPr>
          <w:i/>
          <w:noProof/>
        </w:rPr>
        <w:t xml:space="preserve"> </w:t>
      </w:r>
      <w:r w:rsidRPr="001E2023">
        <w:rPr>
          <w:b/>
          <w:noProof/>
        </w:rPr>
        <w:t>Nepriame riadenie</w:t>
      </w:r>
      <w:r w:rsidRPr="001E2023">
        <w:rPr>
          <w:noProof/>
        </w:rPr>
        <w:t>, pri ktorom sa plnením rozpočtu poveria:</w:t>
      </w:r>
    </w:p>
    <w:p w14:paraId="49681E8A" w14:textId="77777777" w:rsidR="00EF7953" w:rsidRPr="001E2023" w:rsidRDefault="00EF7953">
      <w:pPr>
        <w:pStyle w:val="ListDash2"/>
        <w:rPr>
          <w:noProof/>
        </w:rPr>
      </w:pPr>
      <w:r w:rsidRPr="001E2023">
        <w:rPr>
          <w:rFonts w:ascii="Wingdings" w:hAnsi="Wingdings"/>
          <w:noProof/>
        </w:rPr>
        <w:t></w:t>
      </w:r>
      <w:r w:rsidRPr="001E2023">
        <w:rPr>
          <w:noProof/>
        </w:rPr>
        <w:t xml:space="preserve"> tretie krajiny alebo orgány, ktoré tieto krajiny určili,</w:t>
      </w:r>
    </w:p>
    <w:p w14:paraId="3A686AAD" w14:textId="77777777" w:rsidR="00EF7953" w:rsidRPr="001E2023" w:rsidRDefault="00EF7953">
      <w:pPr>
        <w:pStyle w:val="ListDash2"/>
        <w:rPr>
          <w:noProof/>
        </w:rPr>
      </w:pPr>
      <w:r w:rsidRPr="001E2023">
        <w:rPr>
          <w:rFonts w:ascii="Wingdings" w:hAnsi="Wingdings"/>
          <w:noProof/>
        </w:rPr>
        <w:t></w:t>
      </w:r>
      <w:r w:rsidRPr="001E2023">
        <w:rPr>
          <w:noProof/>
        </w:rPr>
        <w:t xml:space="preserve"> medzinárodné organizácie</w:t>
      </w:r>
      <w:r w:rsidR="001E2023">
        <w:rPr>
          <w:noProof/>
        </w:rPr>
        <w:t xml:space="preserve"> a </w:t>
      </w:r>
      <w:r w:rsidRPr="001E2023">
        <w:rPr>
          <w:noProof/>
        </w:rPr>
        <w:t>ich agentúry (uveďte),</w:t>
      </w:r>
    </w:p>
    <w:p w14:paraId="52D140D2" w14:textId="77777777" w:rsidR="00EF7953" w:rsidRPr="001E2023" w:rsidRDefault="00EF7953">
      <w:pPr>
        <w:pStyle w:val="ListDash2"/>
        <w:rPr>
          <w:noProof/>
        </w:rPr>
      </w:pPr>
      <w:r w:rsidRPr="001E2023">
        <w:rPr>
          <w:rFonts w:ascii="Wingdings" w:hAnsi="Wingdings"/>
          <w:noProof/>
        </w:rPr>
        <w:t></w:t>
      </w:r>
      <w:r w:rsidRPr="001E2023">
        <w:rPr>
          <w:noProof/>
        </w:rPr>
        <w:t xml:space="preserve"> Európska investičná banka (EIB)</w:t>
      </w:r>
      <w:r w:rsidR="001E2023">
        <w:rPr>
          <w:noProof/>
        </w:rPr>
        <w:t xml:space="preserve"> a </w:t>
      </w:r>
      <w:r w:rsidRPr="001E2023">
        <w:rPr>
          <w:noProof/>
        </w:rPr>
        <w:t>Európsky investičný fond,</w:t>
      </w:r>
    </w:p>
    <w:p w14:paraId="40B08730" w14:textId="77777777" w:rsidR="00EF7953" w:rsidRPr="001E2023" w:rsidRDefault="00EF7953">
      <w:pPr>
        <w:pStyle w:val="ListDash2"/>
        <w:rPr>
          <w:noProof/>
        </w:rPr>
      </w:pPr>
      <w:r w:rsidRPr="001E2023">
        <w:rPr>
          <w:rFonts w:ascii="Wingdings" w:hAnsi="Wingdings"/>
          <w:noProof/>
        </w:rPr>
        <w:t></w:t>
      </w:r>
      <w:r w:rsidRPr="001E2023">
        <w:rPr>
          <w:noProof/>
        </w:rPr>
        <w:t xml:space="preserve"> subjekty uvedené</w:t>
      </w:r>
      <w:r w:rsidR="001E2023">
        <w:rPr>
          <w:noProof/>
        </w:rPr>
        <w:t xml:space="preserve"> v </w:t>
      </w:r>
      <w:r w:rsidRPr="001E2023">
        <w:rPr>
          <w:noProof/>
        </w:rPr>
        <w:t>článkoch 70</w:t>
      </w:r>
      <w:r w:rsidR="001E2023">
        <w:rPr>
          <w:noProof/>
        </w:rPr>
        <w:t xml:space="preserve"> a </w:t>
      </w:r>
      <w:r w:rsidRPr="001E2023">
        <w:rPr>
          <w:noProof/>
        </w:rPr>
        <w:t>71 nariadenia</w:t>
      </w:r>
      <w:r w:rsidR="001E2023">
        <w:rPr>
          <w:noProof/>
        </w:rPr>
        <w:t xml:space="preserve"> o </w:t>
      </w:r>
      <w:r w:rsidRPr="001E2023">
        <w:rPr>
          <w:noProof/>
        </w:rPr>
        <w:t>rozpočtových pravidlách,</w:t>
      </w:r>
    </w:p>
    <w:p w14:paraId="4F3F208B" w14:textId="77777777" w:rsidR="00EF7953" w:rsidRPr="001E2023" w:rsidRDefault="00EF7953">
      <w:pPr>
        <w:pStyle w:val="ListDash2"/>
        <w:rPr>
          <w:noProof/>
        </w:rPr>
      </w:pPr>
      <w:r w:rsidRPr="001E2023">
        <w:rPr>
          <w:rFonts w:ascii="Wingdings" w:hAnsi="Wingdings"/>
          <w:noProof/>
        </w:rPr>
        <w:t></w:t>
      </w:r>
      <w:r w:rsidRPr="001E2023">
        <w:rPr>
          <w:noProof/>
        </w:rPr>
        <w:t xml:space="preserve"> verejnoprávne subjekty,</w:t>
      </w:r>
    </w:p>
    <w:p w14:paraId="43D041BF" w14:textId="77777777" w:rsidR="00EF7953" w:rsidRPr="001E2023" w:rsidRDefault="00EF7953">
      <w:pPr>
        <w:pStyle w:val="ListDash2"/>
        <w:rPr>
          <w:noProof/>
        </w:rPr>
      </w:pPr>
      <w:r w:rsidRPr="001E2023">
        <w:rPr>
          <w:rFonts w:ascii="Wingdings" w:hAnsi="Wingdings"/>
          <w:noProof/>
        </w:rPr>
        <w:t></w:t>
      </w:r>
      <w:r w:rsidRPr="001E2023">
        <w:rPr>
          <w:noProof/>
        </w:rPr>
        <w:t xml:space="preserve"> súkromnoprávne subjekty poverené vykonávaním verejnej služby, pokiaľ sú im poskytnuté primerané finančné záruky,</w:t>
      </w:r>
    </w:p>
    <w:p w14:paraId="277720A5" w14:textId="77777777" w:rsidR="00EF7953" w:rsidRPr="001E2023" w:rsidRDefault="00EF7953">
      <w:pPr>
        <w:pStyle w:val="ListDash2"/>
        <w:rPr>
          <w:noProof/>
        </w:rPr>
      </w:pPr>
      <w:r w:rsidRPr="001E2023">
        <w:rPr>
          <w:rFonts w:ascii="Wingdings" w:hAnsi="Wingdings"/>
          <w:noProof/>
        </w:rPr>
        <w:t></w:t>
      </w:r>
      <w:r w:rsidRPr="001E2023">
        <w:rPr>
          <w:noProof/>
        </w:rPr>
        <w:t xml:space="preserve"> súkromnoprávne subjekty spravované právom členského štátu, ktoré sú poverené vykonávaním verejno-súkromného partnerstva</w:t>
      </w:r>
      <w:r w:rsidR="001E2023">
        <w:rPr>
          <w:noProof/>
        </w:rPr>
        <w:t xml:space="preserve"> a </w:t>
      </w:r>
      <w:r w:rsidRPr="001E2023">
        <w:rPr>
          <w:noProof/>
        </w:rPr>
        <w:t>ktorým sú poskytnuté primerané finančné záruky,</w:t>
      </w:r>
    </w:p>
    <w:p w14:paraId="202C0EC5" w14:textId="77777777" w:rsidR="00EF7953" w:rsidRPr="001E2023" w:rsidRDefault="00EF7953">
      <w:pPr>
        <w:pStyle w:val="ListDash2"/>
        <w:rPr>
          <w:noProof/>
        </w:rPr>
      </w:pPr>
      <w:r w:rsidRPr="001E2023">
        <w:rPr>
          <w:rFonts w:ascii="Wingdings" w:hAnsi="Wingdings"/>
          <w:noProof/>
        </w:rPr>
        <w:t></w:t>
      </w:r>
      <w:r w:rsidRPr="001E2023">
        <w:rPr>
          <w:noProof/>
        </w:rPr>
        <w:t xml:space="preserve"> subjekty alebo osoby poverené vykonávaním osobitných činností</w:t>
      </w:r>
      <w:r w:rsidR="001E2023">
        <w:rPr>
          <w:noProof/>
        </w:rPr>
        <w:t xml:space="preserve"> v </w:t>
      </w:r>
      <w:r w:rsidRPr="001E2023">
        <w:rPr>
          <w:noProof/>
        </w:rPr>
        <w:t>oblasti SZBP podľa hlavy</w:t>
      </w:r>
      <w:r w:rsidR="001E2023">
        <w:rPr>
          <w:noProof/>
        </w:rPr>
        <w:t xml:space="preserve"> V </w:t>
      </w:r>
      <w:r w:rsidRPr="001E2023">
        <w:rPr>
          <w:noProof/>
        </w:rPr>
        <w:t>ZEÚ</w:t>
      </w:r>
      <w:r w:rsidR="001E2023">
        <w:rPr>
          <w:noProof/>
        </w:rPr>
        <w:t xml:space="preserve"> a </w:t>
      </w:r>
      <w:r w:rsidRPr="001E2023">
        <w:rPr>
          <w:noProof/>
        </w:rPr>
        <w:t>určené</w:t>
      </w:r>
      <w:r w:rsidR="001E2023">
        <w:rPr>
          <w:noProof/>
        </w:rPr>
        <w:t xml:space="preserve"> v </w:t>
      </w:r>
      <w:r w:rsidRPr="001E2023">
        <w:rPr>
          <w:noProof/>
        </w:rPr>
        <w:t>príslušnom základnom akte.</w:t>
      </w:r>
    </w:p>
    <w:p w14:paraId="553F5137" w14:textId="77777777" w:rsidR="00EF7953" w:rsidRPr="001E2023" w:rsidRDefault="00EF7953">
      <w:pPr>
        <w:pStyle w:val="ListDash2"/>
        <w:rPr>
          <w:i/>
          <w:noProof/>
          <w:sz w:val="18"/>
          <w:u w:val="single"/>
        </w:rPr>
      </w:pPr>
      <w:r w:rsidRPr="001E2023">
        <w:rPr>
          <w:i/>
          <w:noProof/>
          <w:sz w:val="18"/>
        </w:rPr>
        <w:t>V prípade viacerých spôsobov riadenia uveďte</w:t>
      </w:r>
      <w:r w:rsidR="001E2023">
        <w:rPr>
          <w:i/>
          <w:noProof/>
          <w:sz w:val="18"/>
        </w:rPr>
        <w:t xml:space="preserve"> v </w:t>
      </w:r>
      <w:r w:rsidRPr="001E2023">
        <w:rPr>
          <w:i/>
          <w:noProof/>
          <w:sz w:val="18"/>
        </w:rPr>
        <w:t>oddiele „Poznámky“ presnejšie vysvetlenie.</w:t>
      </w:r>
    </w:p>
    <w:p w14:paraId="791B86EA" w14:textId="77777777" w:rsidR="001E2023" w:rsidRPr="001E2023" w:rsidRDefault="00EF7953">
      <w:pPr>
        <w:rPr>
          <w:noProof/>
        </w:rPr>
      </w:pPr>
      <w:r w:rsidRPr="001E2023">
        <w:rPr>
          <w:noProof/>
        </w:rPr>
        <w:t>Poznámky</w:t>
      </w:r>
      <w:r w:rsidR="001E2023" w:rsidRPr="001E2023">
        <w:rPr>
          <w:noProof/>
        </w:rPr>
        <w:t>:</w:t>
      </w:r>
    </w:p>
    <w:p w14:paraId="3013BA57" w14:textId="77777777" w:rsidR="001E2023" w:rsidRPr="006A0C36" w:rsidRDefault="000174E0" w:rsidP="3FB47127">
      <w:pPr>
        <w:pBdr>
          <w:top w:val="single" w:sz="4" w:space="1" w:color="000000"/>
          <w:left w:val="single" w:sz="4" w:space="4" w:color="000000"/>
          <w:bottom w:val="single" w:sz="4" w:space="1" w:color="000000"/>
          <w:right w:val="single" w:sz="4" w:space="4" w:color="000000"/>
        </w:pBdr>
        <w:rPr>
          <w:noProof/>
          <w:spacing w:val="-4"/>
        </w:rPr>
      </w:pPr>
      <w:r w:rsidRPr="006A0C36">
        <w:rPr>
          <w:noProof/>
          <w:spacing w:val="-4"/>
        </w:rPr>
        <w:t>Tento návrh vychádza</w:t>
      </w:r>
      <w:r w:rsidR="001E2023" w:rsidRPr="006A0C36">
        <w:rPr>
          <w:noProof/>
          <w:spacing w:val="-4"/>
        </w:rPr>
        <w:t xml:space="preserve"> z </w:t>
      </w:r>
      <w:r w:rsidRPr="006A0C36">
        <w:rPr>
          <w:noProof/>
          <w:spacing w:val="-4"/>
        </w:rPr>
        <w:t>existujúceho rámca</w:t>
      </w:r>
      <w:r w:rsidR="001E2023" w:rsidRPr="006A0C36">
        <w:rPr>
          <w:noProof/>
          <w:spacing w:val="-4"/>
        </w:rPr>
        <w:t xml:space="preserve"> a </w:t>
      </w:r>
      <w:r w:rsidRPr="006A0C36">
        <w:rPr>
          <w:noProof/>
          <w:spacing w:val="-4"/>
        </w:rPr>
        <w:t>systémov na automatickú výmenu informácií, ktoré boli vypracované podľa článku 21 smernice 2011/16/EÚ</w:t>
      </w:r>
      <w:r w:rsidR="001E2023" w:rsidRPr="006A0C36">
        <w:rPr>
          <w:noProof/>
          <w:spacing w:val="-4"/>
        </w:rPr>
        <w:t xml:space="preserve"> a v </w:t>
      </w:r>
      <w:r w:rsidRPr="006A0C36">
        <w:rPr>
          <w:noProof/>
          <w:spacing w:val="-4"/>
        </w:rPr>
        <w:t>kontexte jej predchádzajúcich zmien. Komisia</w:t>
      </w:r>
      <w:r w:rsidR="001E2023" w:rsidRPr="006A0C36">
        <w:rPr>
          <w:noProof/>
          <w:spacing w:val="-4"/>
        </w:rPr>
        <w:t xml:space="preserve"> v </w:t>
      </w:r>
      <w:r w:rsidRPr="006A0C36">
        <w:rPr>
          <w:noProof/>
          <w:spacing w:val="-4"/>
        </w:rPr>
        <w:t>spojení</w:t>
      </w:r>
      <w:r w:rsidR="001E2023" w:rsidRPr="006A0C36">
        <w:rPr>
          <w:noProof/>
          <w:spacing w:val="-4"/>
        </w:rPr>
        <w:t xml:space="preserve"> s </w:t>
      </w:r>
      <w:r w:rsidRPr="006A0C36">
        <w:rPr>
          <w:noProof/>
          <w:spacing w:val="-4"/>
        </w:rPr>
        <w:t>členskými štátmi vypracuje prostredníctvom vykonávacích opatrení štandardizované elektronické formáty na výmenu informácií. Pokiaľ ide</w:t>
      </w:r>
      <w:r w:rsidR="001E2023" w:rsidRPr="006A0C36">
        <w:rPr>
          <w:noProof/>
          <w:spacing w:val="-4"/>
        </w:rPr>
        <w:t xml:space="preserve"> o </w:t>
      </w:r>
      <w:r w:rsidRPr="006A0C36">
        <w:rPr>
          <w:noProof/>
          <w:spacing w:val="-4"/>
        </w:rPr>
        <w:t>sieť CCN, ktorá umožní výmenu informácií medzi členskými štátmi, Komisia zodpovedá za vývoj, údržbu</w:t>
      </w:r>
      <w:r w:rsidR="001E2023" w:rsidRPr="006A0C36">
        <w:rPr>
          <w:noProof/>
          <w:spacing w:val="-4"/>
        </w:rPr>
        <w:t xml:space="preserve"> a </w:t>
      </w:r>
      <w:r w:rsidRPr="006A0C36">
        <w:rPr>
          <w:noProof/>
          <w:spacing w:val="-4"/>
        </w:rPr>
        <w:t>prispôsobenie takejto siete</w:t>
      </w:r>
      <w:r w:rsidR="001E2023" w:rsidRPr="006A0C36">
        <w:rPr>
          <w:noProof/>
          <w:spacing w:val="-4"/>
        </w:rPr>
        <w:t xml:space="preserve"> a </w:t>
      </w:r>
      <w:r w:rsidRPr="006A0C36">
        <w:rPr>
          <w:noProof/>
          <w:spacing w:val="-4"/>
        </w:rPr>
        <w:t>členské štáty sa zaviažu vytvoriť vhodnú vnútroštátnu infraštruktúru, ktorá umožní výmenu informácií prostredníctvom siete CCN</w:t>
      </w:r>
      <w:r w:rsidR="001E2023" w:rsidRPr="006A0C36">
        <w:rPr>
          <w:noProof/>
          <w:spacing w:val="-4"/>
        </w:rPr>
        <w:t>.</w:t>
      </w:r>
    </w:p>
    <w:p w14:paraId="7FE074D7" w14:textId="77777777" w:rsidR="00EF7953" w:rsidRPr="001E2023" w:rsidRDefault="00EF7953">
      <w:pPr>
        <w:rPr>
          <w:noProof/>
        </w:rPr>
        <w:sectPr w:rsidR="00EF7953" w:rsidRPr="001E2023" w:rsidSect="003F317C">
          <w:pgSz w:w="11907" w:h="16840" w:code="9"/>
          <w:pgMar w:top="1134" w:right="1418" w:bottom="1134" w:left="1418" w:header="709" w:footer="709" w:gutter="0"/>
          <w:cols w:space="708"/>
          <w:docGrid w:linePitch="360"/>
        </w:sectPr>
      </w:pPr>
    </w:p>
    <w:p w14:paraId="60EF691E" w14:textId="77777777" w:rsidR="001E2023" w:rsidRPr="001E2023" w:rsidRDefault="00EF7953">
      <w:pPr>
        <w:pStyle w:val="ManualHeading1"/>
        <w:rPr>
          <w:noProof/>
        </w:rPr>
      </w:pPr>
      <w:bookmarkStart w:id="38" w:name="_Toc514938041"/>
      <w:bookmarkStart w:id="39" w:name="_Toc520485042"/>
      <w:r w:rsidRPr="001E2023">
        <w:rPr>
          <w:noProof/>
        </w:rPr>
        <w:lastRenderedPageBreak/>
        <w:t>2.</w:t>
      </w:r>
      <w:r w:rsidRPr="001E2023">
        <w:rPr>
          <w:noProof/>
        </w:rPr>
        <w:tab/>
        <w:t>OPATRENIA</w:t>
      </w:r>
      <w:r w:rsidR="001E2023">
        <w:rPr>
          <w:noProof/>
        </w:rPr>
        <w:t xml:space="preserve"> V </w:t>
      </w:r>
      <w:r w:rsidRPr="001E2023">
        <w:rPr>
          <w:noProof/>
        </w:rPr>
        <w:t>OBLASTI RIADENIA</w:t>
      </w:r>
      <w:bookmarkEnd w:id="38"/>
      <w:bookmarkEnd w:id="39"/>
    </w:p>
    <w:p w14:paraId="5BA09E68" w14:textId="77777777" w:rsidR="001E2023" w:rsidRPr="001E2023" w:rsidRDefault="00EF7953">
      <w:pPr>
        <w:pStyle w:val="ManualHeading2"/>
        <w:rPr>
          <w:noProof/>
        </w:rPr>
      </w:pPr>
      <w:bookmarkStart w:id="40" w:name="_Toc514938042"/>
      <w:bookmarkStart w:id="41" w:name="_Toc520485043"/>
      <w:r w:rsidRPr="001E2023">
        <w:rPr>
          <w:noProof/>
        </w:rPr>
        <w:t>2.1.</w:t>
      </w:r>
      <w:r w:rsidRPr="001E2023">
        <w:rPr>
          <w:noProof/>
        </w:rPr>
        <w:tab/>
        <w:t>Zásady monitorovania</w:t>
      </w:r>
      <w:r w:rsidR="001E2023">
        <w:rPr>
          <w:noProof/>
        </w:rPr>
        <w:t xml:space="preserve"> a </w:t>
      </w:r>
      <w:r w:rsidRPr="001E2023">
        <w:rPr>
          <w:noProof/>
        </w:rPr>
        <w:t>predkladania správ</w:t>
      </w:r>
      <w:bookmarkEnd w:id="40"/>
      <w:bookmarkEnd w:id="41"/>
    </w:p>
    <w:p w14:paraId="3BE9D4F2" w14:textId="77777777" w:rsidR="00EF7953" w:rsidRPr="001E2023" w:rsidRDefault="00EF7953">
      <w:pPr>
        <w:pStyle w:val="Text1"/>
        <w:rPr>
          <w:i/>
          <w:noProof/>
          <w:sz w:val="20"/>
        </w:rPr>
      </w:pPr>
      <w:r w:rsidRPr="001E2023">
        <w:rPr>
          <w:i/>
          <w:noProof/>
          <w:sz w:val="20"/>
        </w:rPr>
        <w:t>Uveďte frekvenciu</w:t>
      </w:r>
      <w:r w:rsidR="001E2023">
        <w:rPr>
          <w:i/>
          <w:noProof/>
          <w:sz w:val="20"/>
        </w:rPr>
        <w:t xml:space="preserve"> a </w:t>
      </w:r>
      <w:r w:rsidRPr="001E2023">
        <w:rPr>
          <w:i/>
          <w:noProof/>
          <w:sz w:val="20"/>
        </w:rPr>
        <w:t>podmienky, ktoré sa vzťahujú na tieto opatrenia.</w:t>
      </w:r>
    </w:p>
    <w:p w14:paraId="149B279A" w14:textId="77777777" w:rsidR="00E30B1E" w:rsidRPr="001E2023" w:rsidRDefault="00E30B1E" w:rsidP="00E30B1E">
      <w:pPr>
        <w:pStyle w:val="Text1"/>
        <w:pBdr>
          <w:top w:val="single" w:sz="4" w:space="1" w:color="auto"/>
          <w:left w:val="single" w:sz="4" w:space="4" w:color="auto"/>
          <w:bottom w:val="single" w:sz="4" w:space="1" w:color="auto"/>
          <w:right w:val="single" w:sz="4" w:space="4" w:color="auto"/>
        </w:pBdr>
        <w:rPr>
          <w:noProof/>
        </w:rPr>
      </w:pPr>
      <w:r w:rsidRPr="001E2023">
        <w:rPr>
          <w:noProof/>
        </w:rPr>
        <w:t>Komisia zhodnotí fungovanie intervencie</w:t>
      </w:r>
      <w:r w:rsidR="001E2023">
        <w:rPr>
          <w:noProof/>
        </w:rPr>
        <w:t xml:space="preserve"> z </w:t>
      </w:r>
      <w:r w:rsidRPr="001E2023">
        <w:rPr>
          <w:noProof/>
        </w:rPr>
        <w:t>hľadiska hlavných politických cieľov. Monitorovanie</w:t>
      </w:r>
      <w:r w:rsidR="001E2023">
        <w:rPr>
          <w:noProof/>
        </w:rPr>
        <w:t xml:space="preserve"> a </w:t>
      </w:r>
      <w:r w:rsidRPr="001E2023">
        <w:rPr>
          <w:noProof/>
        </w:rPr>
        <w:t>hodnotenie sa vykoná</w:t>
      </w:r>
      <w:r w:rsidR="001E2023">
        <w:rPr>
          <w:noProof/>
        </w:rPr>
        <w:t xml:space="preserve"> v </w:t>
      </w:r>
      <w:r w:rsidRPr="001E2023">
        <w:rPr>
          <w:noProof/>
        </w:rPr>
        <w:t>súlade</w:t>
      </w:r>
      <w:r w:rsidR="001E2023">
        <w:rPr>
          <w:noProof/>
        </w:rPr>
        <w:t xml:space="preserve"> s </w:t>
      </w:r>
      <w:r w:rsidRPr="001E2023">
        <w:rPr>
          <w:noProof/>
        </w:rPr>
        <w:t>ostatnými prvkami administratívnej spolupráce.</w:t>
      </w:r>
    </w:p>
    <w:p w14:paraId="1F4AF0B3" w14:textId="77777777" w:rsidR="00E30B1E" w:rsidRPr="001E2023" w:rsidRDefault="00E30B1E"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Členské štáty budú predkladať Komisii každoročne informácie</w:t>
      </w:r>
      <w:r w:rsidR="001E2023">
        <w:rPr>
          <w:noProof/>
        </w:rPr>
        <w:t xml:space="preserve"> o </w:t>
      </w:r>
      <w:r w:rsidRPr="001E2023">
        <w:rPr>
          <w:noProof/>
        </w:rPr>
        <w:t>ukazovateľoch výkonnosti uvedené</w:t>
      </w:r>
      <w:r w:rsidR="001E2023">
        <w:rPr>
          <w:noProof/>
        </w:rPr>
        <w:t xml:space="preserve"> v </w:t>
      </w:r>
      <w:r w:rsidRPr="001E2023">
        <w:rPr>
          <w:noProof/>
        </w:rPr>
        <w:t>predchádzajúcej tabuľke, ktoré sa použijú na monitorovanie súladu</w:t>
      </w:r>
      <w:r w:rsidR="001E2023">
        <w:rPr>
          <w:noProof/>
        </w:rPr>
        <w:t xml:space="preserve"> s </w:t>
      </w:r>
      <w:r w:rsidRPr="001E2023">
        <w:rPr>
          <w:noProof/>
        </w:rPr>
        <w:t>týmto návrhom.</w:t>
      </w:r>
    </w:p>
    <w:p w14:paraId="1900CDE2" w14:textId="77777777" w:rsidR="00E30B1E" w:rsidRPr="001E2023" w:rsidRDefault="00E30B1E" w:rsidP="00E30B1E">
      <w:pPr>
        <w:pStyle w:val="Text1"/>
        <w:pBdr>
          <w:top w:val="single" w:sz="4" w:space="1" w:color="auto"/>
          <w:left w:val="single" w:sz="4" w:space="4" w:color="auto"/>
          <w:bottom w:val="single" w:sz="4" w:space="1" w:color="auto"/>
          <w:right w:val="single" w:sz="4" w:space="4" w:color="auto"/>
        </w:pBdr>
        <w:rPr>
          <w:noProof/>
        </w:rPr>
      </w:pPr>
      <w:r w:rsidRPr="001E2023">
        <w:rPr>
          <w:noProof/>
        </w:rPr>
        <w:t>Členské štáty sa zaväzujú:</w:t>
      </w:r>
    </w:p>
    <w:p w14:paraId="4EE71C2F" w14:textId="77777777" w:rsidR="00E30B1E" w:rsidRPr="001E2023" w:rsidRDefault="00E30B1E"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 oznámiť Komisii ročné posúdenie účinnosti automatickej výmeny informácií stanovenej smernicou 2011/16/EÚ</w:t>
      </w:r>
      <w:r w:rsidR="001E2023">
        <w:rPr>
          <w:noProof/>
        </w:rPr>
        <w:t xml:space="preserve"> a </w:t>
      </w:r>
      <w:r w:rsidRPr="001E2023">
        <w:rPr>
          <w:noProof/>
        </w:rPr>
        <w:t>uvedenej</w:t>
      </w:r>
      <w:r w:rsidR="001E2023">
        <w:rPr>
          <w:noProof/>
        </w:rPr>
        <w:t xml:space="preserve"> v </w:t>
      </w:r>
      <w:r w:rsidRPr="001E2023">
        <w:rPr>
          <w:noProof/>
        </w:rPr>
        <w:t>článkoch 8, 8a, 8aa, 8ab, 8ac, ako aj</w:t>
      </w:r>
      <w:r w:rsidR="001E2023">
        <w:rPr>
          <w:noProof/>
        </w:rPr>
        <w:t xml:space="preserve"> v </w:t>
      </w:r>
      <w:r w:rsidRPr="001E2023">
        <w:rPr>
          <w:noProof/>
        </w:rPr>
        <w:t>navrhovanom článku 8ae,</w:t>
      </w:r>
    </w:p>
    <w:p w14:paraId="1331230D" w14:textId="77777777" w:rsidR="00E30B1E" w:rsidRPr="001E2023" w:rsidRDefault="00E30B1E" w:rsidP="6B795065">
      <w:pPr>
        <w:pStyle w:val="Text1"/>
        <w:pBdr>
          <w:top w:val="single" w:sz="4" w:space="1" w:color="auto"/>
          <w:left w:val="single" w:sz="4" w:space="4" w:color="auto"/>
          <w:bottom w:val="single" w:sz="4" w:space="1" w:color="auto"/>
          <w:right w:val="single" w:sz="4" w:space="4" w:color="auto"/>
        </w:pBdr>
        <w:rPr>
          <w:noProof/>
        </w:rPr>
      </w:pPr>
      <w:r w:rsidRPr="001E2023">
        <w:rPr>
          <w:noProof/>
        </w:rPr>
        <w:t>– poskytnúť zoznam štatistických údajov, ktoré Komisia určila</w:t>
      </w:r>
      <w:r w:rsidR="001E2023">
        <w:rPr>
          <w:noProof/>
        </w:rPr>
        <w:t xml:space="preserve"> v </w:t>
      </w:r>
      <w:r w:rsidRPr="001E2023">
        <w:rPr>
          <w:noProof/>
        </w:rPr>
        <w:t>súlade</w:t>
      </w:r>
      <w:r w:rsidR="001E2023">
        <w:rPr>
          <w:noProof/>
        </w:rPr>
        <w:t xml:space="preserve"> s </w:t>
      </w:r>
      <w:r w:rsidRPr="001E2023">
        <w:rPr>
          <w:noProof/>
        </w:rPr>
        <w:t>postupom uvedeným</w:t>
      </w:r>
      <w:r w:rsidR="001E2023">
        <w:rPr>
          <w:noProof/>
        </w:rPr>
        <w:t xml:space="preserve"> v </w:t>
      </w:r>
      <w:r w:rsidRPr="001E2023">
        <w:rPr>
          <w:noProof/>
        </w:rPr>
        <w:t>článku 26 ods. 2 (vykonávacie opatrenia) na účely hodnotenia tejto smernice,</w:t>
      </w:r>
    </w:p>
    <w:p w14:paraId="5F1A5362" w14:textId="77777777" w:rsidR="00EF7953" w:rsidRPr="001E2023" w:rsidRDefault="00E30B1E" w:rsidP="6B795065">
      <w:pPr>
        <w:pStyle w:val="Text1"/>
        <w:pBdr>
          <w:top w:val="single" w:sz="4" w:space="1" w:color="auto"/>
          <w:left w:val="single" w:sz="4" w:space="4" w:color="auto"/>
          <w:bottom w:val="single" w:sz="4" w:space="1" w:color="auto"/>
          <w:right w:val="single" w:sz="4" w:space="4" w:color="auto"/>
        </w:pBdr>
        <w:rPr>
          <w:noProof/>
        </w:rPr>
      </w:pPr>
      <w:r w:rsidRPr="001E2023">
        <w:rPr>
          <w:noProof/>
        </w:rPr>
        <w:t>– oznámiť Komisii výsledky svojho ročného posúdenia účinnosti administratívnej spolupráce.</w:t>
      </w:r>
      <w:r w:rsidR="001E2023">
        <w:rPr>
          <w:noProof/>
        </w:rPr>
        <w:t xml:space="preserve"> V </w:t>
      </w:r>
      <w:r w:rsidRPr="001E2023">
        <w:rPr>
          <w:noProof/>
        </w:rPr>
        <w:t>článku 27 smernice 2011/16/EÚ sa Komisia zaviazala predkladať správu</w:t>
      </w:r>
      <w:r w:rsidR="001E2023">
        <w:rPr>
          <w:noProof/>
        </w:rPr>
        <w:t xml:space="preserve"> o </w:t>
      </w:r>
      <w:r w:rsidRPr="001E2023">
        <w:rPr>
          <w:noProof/>
        </w:rPr>
        <w:t>uplatňovaní smernice každých päť rokov, počnúc 1. januárom 2013.</w:t>
      </w:r>
    </w:p>
    <w:p w14:paraId="0FFDB025" w14:textId="77777777" w:rsidR="001E2023" w:rsidRPr="001E2023" w:rsidRDefault="00EF7953">
      <w:pPr>
        <w:pStyle w:val="ManualHeading2"/>
        <w:rPr>
          <w:noProof/>
        </w:rPr>
      </w:pPr>
      <w:bookmarkStart w:id="42" w:name="_Toc514938045"/>
      <w:bookmarkStart w:id="43" w:name="_Toc520485044"/>
      <w:r w:rsidRPr="001E2023">
        <w:rPr>
          <w:noProof/>
        </w:rPr>
        <w:t>2.2.</w:t>
      </w:r>
      <w:r w:rsidRPr="001E2023">
        <w:rPr>
          <w:noProof/>
        </w:rPr>
        <w:tab/>
        <w:t>Systémy riadenia</w:t>
      </w:r>
      <w:r w:rsidR="001E2023">
        <w:rPr>
          <w:noProof/>
        </w:rPr>
        <w:t xml:space="preserve"> a </w:t>
      </w:r>
      <w:r w:rsidRPr="001E2023">
        <w:rPr>
          <w:noProof/>
        </w:rPr>
        <w:t>kontroly</w:t>
      </w:r>
      <w:bookmarkEnd w:id="42"/>
      <w:bookmarkEnd w:id="43"/>
    </w:p>
    <w:p w14:paraId="125B313E" w14:textId="77777777" w:rsidR="00EF7953" w:rsidRPr="001E2023" w:rsidRDefault="00EF7953">
      <w:pPr>
        <w:pStyle w:val="ManualHeading3"/>
        <w:rPr>
          <w:noProof/>
        </w:rPr>
      </w:pPr>
      <w:bookmarkStart w:id="44" w:name="_Toc514938046"/>
      <w:bookmarkStart w:id="45" w:name="_Toc520485045"/>
      <w:r w:rsidRPr="001E2023">
        <w:rPr>
          <w:noProof/>
        </w:rPr>
        <w:t>2.2.1.</w:t>
      </w:r>
      <w:r w:rsidRPr="001E2023">
        <w:rPr>
          <w:noProof/>
        </w:rPr>
        <w:tab/>
        <w:t>Opodstatnenie navrhovaných spôsobov riadenia, mechanizmov vykonávania financovania, spôsobov platby</w:t>
      </w:r>
      <w:r w:rsidR="001E2023">
        <w:rPr>
          <w:noProof/>
        </w:rPr>
        <w:t xml:space="preserve"> a </w:t>
      </w:r>
      <w:r w:rsidRPr="001E2023">
        <w:rPr>
          <w:noProof/>
        </w:rPr>
        <w:t>stratégie kontroly</w:t>
      </w:r>
      <w:bookmarkEnd w:id="44"/>
      <w:bookmarkEnd w:id="45"/>
    </w:p>
    <w:p w14:paraId="4F7CDB09" w14:textId="77777777" w:rsidR="0060420D" w:rsidRPr="001E2023" w:rsidRDefault="0060420D" w:rsidP="3FB47127">
      <w:pPr>
        <w:pStyle w:val="Text1"/>
        <w:pBdr>
          <w:top w:val="single" w:sz="4" w:space="1" w:color="auto"/>
          <w:left w:val="single" w:sz="4" w:space="4" w:color="auto"/>
          <w:bottom w:val="single" w:sz="4" w:space="1" w:color="auto"/>
          <w:right w:val="single" w:sz="4" w:space="4" w:color="auto"/>
        </w:pBdr>
        <w:rPr>
          <w:noProof/>
        </w:rPr>
      </w:pPr>
      <w:r w:rsidRPr="001E2023">
        <w:rPr>
          <w:noProof/>
        </w:rPr>
        <w:t>Iniciatívu budú realizovať príslušné orgány (daňové správy) členských štátov. Budú zodpovedné za financovanie vlastných vnútroštátnych systémov</w:t>
      </w:r>
      <w:r w:rsidR="001E2023">
        <w:rPr>
          <w:noProof/>
        </w:rPr>
        <w:t xml:space="preserve"> a </w:t>
      </w:r>
      <w:r w:rsidRPr="001E2023">
        <w:rPr>
          <w:noProof/>
        </w:rPr>
        <w:t>potrebných úprav na uskutočňovanie výmeny informácií.</w:t>
      </w:r>
    </w:p>
    <w:p w14:paraId="03EBB500" w14:textId="77777777" w:rsidR="00EF7953" w:rsidRPr="001E2023" w:rsidRDefault="0060420D" w:rsidP="3FB47127">
      <w:pPr>
        <w:pStyle w:val="Text1"/>
        <w:pBdr>
          <w:top w:val="single" w:sz="4" w:space="1" w:color="auto"/>
          <w:left w:val="single" w:sz="4" w:space="4" w:color="auto"/>
          <w:bottom w:val="single" w:sz="4" w:space="1" w:color="auto"/>
          <w:right w:val="single" w:sz="4" w:space="4" w:color="auto"/>
        </w:pBdr>
        <w:rPr>
          <w:noProof/>
        </w:rPr>
      </w:pPr>
      <w:r w:rsidRPr="001E2023">
        <w:rPr>
          <w:noProof/>
        </w:rPr>
        <w:t>Komisia vytvorí infraštruktúru, ktorá umožní výmeny medzi daňovými orgánmi členských štátov. IT systémy, ktoré boli zriadené na účely rozsahu pôsobnosti DAC, sa budú používať aj na účely tejto iniciatívy. Komisia bude financovať úpravy systémov potrebných na umožnenie výmen informácií, na ktoré sa budú vzťahovať hlavné prvky kontroly,</w:t>
      </w:r>
      <w:r w:rsidR="001E2023">
        <w:rPr>
          <w:noProof/>
        </w:rPr>
        <w:t xml:space="preserve"> a </w:t>
      </w:r>
      <w:r w:rsidRPr="001E2023">
        <w:rPr>
          <w:noProof/>
        </w:rPr>
        <w:t xml:space="preserve">to kontrola týkajúca sa verejných zákaziek, technické overovanie verejnej zákazky, </w:t>
      </w:r>
      <w:r w:rsidRPr="001E2023">
        <w:rPr>
          <w:i/>
          <w:iCs/>
          <w:noProof/>
        </w:rPr>
        <w:t>ex ante</w:t>
      </w:r>
      <w:r w:rsidRPr="001E2023">
        <w:rPr>
          <w:noProof/>
        </w:rPr>
        <w:t xml:space="preserve"> kontrola záväzkov</w:t>
      </w:r>
      <w:r w:rsidR="001E2023">
        <w:rPr>
          <w:noProof/>
        </w:rPr>
        <w:t xml:space="preserve"> a </w:t>
      </w:r>
      <w:r w:rsidRPr="001E2023">
        <w:rPr>
          <w:i/>
          <w:iCs/>
          <w:noProof/>
        </w:rPr>
        <w:t>ex ante</w:t>
      </w:r>
      <w:r w:rsidRPr="001E2023">
        <w:rPr>
          <w:noProof/>
        </w:rPr>
        <w:t xml:space="preserve"> kontrola platieb.</w:t>
      </w:r>
    </w:p>
    <w:p w14:paraId="048B747B" w14:textId="77777777" w:rsidR="00EF7953" w:rsidRPr="001E2023" w:rsidRDefault="00EF7953">
      <w:pPr>
        <w:pStyle w:val="ManualHeading3"/>
        <w:rPr>
          <w:bCs/>
          <w:noProof/>
          <w:szCs w:val="24"/>
        </w:rPr>
      </w:pPr>
      <w:bookmarkStart w:id="46" w:name="_Toc514938047"/>
      <w:bookmarkStart w:id="47" w:name="_Toc520485046"/>
      <w:r w:rsidRPr="001E2023">
        <w:rPr>
          <w:noProof/>
        </w:rPr>
        <w:t>2.2.2.</w:t>
      </w:r>
      <w:r w:rsidRPr="001E2023">
        <w:rPr>
          <w:noProof/>
        </w:rPr>
        <w:tab/>
        <w:t>Informácie</w:t>
      </w:r>
      <w:r w:rsidR="001E2023">
        <w:rPr>
          <w:noProof/>
        </w:rPr>
        <w:t xml:space="preserve"> o </w:t>
      </w:r>
      <w:r w:rsidRPr="001E2023">
        <w:rPr>
          <w:noProof/>
        </w:rPr>
        <w:t>zistených rizikách</w:t>
      </w:r>
      <w:r w:rsidR="001E2023">
        <w:rPr>
          <w:noProof/>
        </w:rPr>
        <w:t xml:space="preserve"> a </w:t>
      </w:r>
      <w:r w:rsidRPr="001E2023">
        <w:rPr>
          <w:noProof/>
        </w:rPr>
        <w:t>systémoch vnútornej kontroly zavedených na ich zmierňovanie</w:t>
      </w:r>
      <w:bookmarkEnd w:id="46"/>
      <w:bookmarkEnd w:id="47"/>
    </w:p>
    <w:p w14:paraId="75003DFD" w14:textId="77777777" w:rsidR="00EF7953" w:rsidRPr="001E2023" w:rsidRDefault="00AF2C3E"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t>Navrhovaná intervencia bude založená na deklaratívnom systéme, ktorý obsahuje riziko neoznámenia alebo nesprávneho oznámenia zo strany nadnárodných podnikov patriacich do rozsahu pôsobnosti.</w:t>
      </w:r>
      <w:r w:rsidR="001E2023">
        <w:rPr>
          <w:noProof/>
        </w:rPr>
        <w:t xml:space="preserve"> S </w:t>
      </w:r>
      <w:r w:rsidRPr="001E2023">
        <w:rPr>
          <w:noProof/>
        </w:rPr>
        <w:t>cieľom umožniť posúdenie celkového plnenia oznamovacej povinnosti budú členské štáty povinné každoročne podávať Komisii príslušné štatistické údaje. Okrem toho budú za vymáhanie sankcií</w:t>
      </w:r>
      <w:r w:rsidR="001E2023">
        <w:rPr>
          <w:noProof/>
        </w:rPr>
        <w:t xml:space="preserve"> a </w:t>
      </w:r>
      <w:r w:rsidRPr="001E2023">
        <w:rPr>
          <w:noProof/>
        </w:rPr>
        <w:t>všeobecnejšie za zabezpečovanie súladu</w:t>
      </w:r>
      <w:r w:rsidR="001E2023">
        <w:rPr>
          <w:noProof/>
        </w:rPr>
        <w:t xml:space="preserve"> s </w:t>
      </w:r>
      <w:r w:rsidRPr="001E2023">
        <w:rPr>
          <w:noProof/>
        </w:rPr>
        <w:t>navrhovanou intervenciou zodpovedné vnútroštátne správne orgány. Vnútroštátne daňové správy budú takisto môcť vykonávať kontroly, ktorých cieľom je zisťovať nedodržiavanie predpisov</w:t>
      </w:r>
      <w:r w:rsidR="001E2023">
        <w:rPr>
          <w:noProof/>
        </w:rPr>
        <w:t xml:space="preserve"> a </w:t>
      </w:r>
      <w:r w:rsidRPr="001E2023">
        <w:rPr>
          <w:noProof/>
        </w:rPr>
        <w:t>odrádzať od neho.</w:t>
      </w:r>
    </w:p>
    <w:p w14:paraId="255712AA" w14:textId="77777777" w:rsidR="00E06ED6" w:rsidRPr="001E2023" w:rsidRDefault="11837842" w:rsidP="3FB47127">
      <w:pPr>
        <w:pStyle w:val="Text1"/>
        <w:pBdr>
          <w:top w:val="single" w:sz="4" w:space="1" w:color="000000"/>
          <w:left w:val="single" w:sz="4" w:space="4" w:color="000000"/>
          <w:bottom w:val="single" w:sz="4" w:space="1" w:color="000000"/>
          <w:right w:val="single" w:sz="4" w:space="4" w:color="000000"/>
        </w:pBdr>
        <w:rPr>
          <w:noProof/>
        </w:rPr>
      </w:pPr>
      <w:r w:rsidRPr="001E2023">
        <w:rPr>
          <w:noProof/>
        </w:rPr>
        <w:lastRenderedPageBreak/>
        <w:t>Program Fiscalis bude podporovať systém vnútornej kontroly</w:t>
      </w:r>
      <w:r w:rsidR="001E2023">
        <w:rPr>
          <w:noProof/>
        </w:rPr>
        <w:t xml:space="preserve"> v </w:t>
      </w:r>
      <w:r w:rsidRPr="001E2023">
        <w:rPr>
          <w:noProof/>
        </w:rPr>
        <w:t>súlade</w:t>
      </w:r>
      <w:r w:rsidR="001E2023">
        <w:rPr>
          <w:noProof/>
        </w:rPr>
        <w:t xml:space="preserve"> s </w:t>
      </w:r>
      <w:r w:rsidRPr="001E2023">
        <w:rPr>
          <w:noProof/>
        </w:rPr>
        <w:t>nariadením Európskeho parlamentu</w:t>
      </w:r>
      <w:r w:rsidR="001E2023">
        <w:rPr>
          <w:noProof/>
        </w:rPr>
        <w:t xml:space="preserve"> a </w:t>
      </w:r>
      <w:r w:rsidRPr="001E2023">
        <w:rPr>
          <w:noProof/>
        </w:rPr>
        <w:t>Rady (EÚ) 2021/847</w:t>
      </w:r>
      <w:r w:rsidR="001E2023">
        <w:rPr>
          <w:noProof/>
        </w:rPr>
        <w:t xml:space="preserve"> z </w:t>
      </w:r>
      <w:r w:rsidRPr="001E2023">
        <w:rPr>
          <w:noProof/>
        </w:rPr>
        <w:t>20</w:t>
      </w:r>
      <w:r w:rsidR="001E2023">
        <w:rPr>
          <w:noProof/>
        </w:rPr>
        <w:t>. mája</w:t>
      </w:r>
      <w:r w:rsidRPr="001E2023">
        <w:rPr>
          <w:noProof/>
        </w:rPr>
        <w:t xml:space="preserve"> 2021</w:t>
      </w:r>
      <w:r w:rsidR="001E2023">
        <w:rPr>
          <w:noProof/>
        </w:rPr>
        <w:t xml:space="preserve"> a </w:t>
      </w:r>
      <w:r w:rsidRPr="001E2023">
        <w:rPr>
          <w:noProof/>
        </w:rPr>
        <w:t>poskytne finančné prostriedky na:</w:t>
      </w:r>
    </w:p>
    <w:p w14:paraId="1873D210"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 jednotné akcie (napr.</w:t>
      </w:r>
      <w:r w:rsidR="001E2023">
        <w:rPr>
          <w:noProof/>
        </w:rPr>
        <w:t xml:space="preserve"> v </w:t>
      </w:r>
      <w:r w:rsidRPr="001E2023">
        <w:rPr>
          <w:noProof/>
        </w:rPr>
        <w:t>podobe projektových skupín),</w:t>
      </w:r>
    </w:p>
    <w:p w14:paraId="2E4E5C2C" w14:textId="77777777" w:rsidR="00E06ED6" w:rsidRPr="001E2023" w:rsidRDefault="00E06ED6" w:rsidP="6B795065">
      <w:pPr>
        <w:pStyle w:val="Text1"/>
        <w:pBdr>
          <w:top w:val="single" w:sz="4" w:space="1" w:color="auto"/>
          <w:left w:val="single" w:sz="4" w:space="4" w:color="auto"/>
          <w:bottom w:val="single" w:sz="4" w:space="1" w:color="auto"/>
          <w:right w:val="single" w:sz="4" w:space="4" w:color="auto"/>
        </w:pBdr>
        <w:rPr>
          <w:noProof/>
        </w:rPr>
      </w:pPr>
      <w:r w:rsidRPr="001E2023">
        <w:rPr>
          <w:noProof/>
        </w:rPr>
        <w:t>– vypracovanie technických špecifikácií vrátane schémy XML.</w:t>
      </w:r>
    </w:p>
    <w:p w14:paraId="0F32CBD8"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Hlavné prvky kontrolnej stratégie sú:</w:t>
      </w:r>
    </w:p>
    <w:p w14:paraId="2AC2D85D"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Verejné zákazky</w:t>
      </w:r>
    </w:p>
    <w:p w14:paraId="0FF338C9"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Kontrolné postupy pre verejné zákazky vymedzené</w:t>
      </w:r>
      <w:r w:rsidR="001E2023">
        <w:rPr>
          <w:noProof/>
        </w:rPr>
        <w:t xml:space="preserve"> v </w:t>
      </w:r>
      <w:r w:rsidRPr="001E2023">
        <w:rPr>
          <w:noProof/>
        </w:rPr>
        <w:t>nariadení</w:t>
      </w:r>
      <w:r w:rsidR="001E2023">
        <w:rPr>
          <w:noProof/>
        </w:rPr>
        <w:t xml:space="preserve"> o </w:t>
      </w:r>
      <w:r w:rsidRPr="001E2023">
        <w:rPr>
          <w:noProof/>
        </w:rPr>
        <w:t>rozpočtových pravidlách: akákoľvek verejná zákazka sa zadá po stanovenom postupe overenia platieb útvarmi Komisie,</w:t>
      </w:r>
      <w:r w:rsidR="001E2023">
        <w:rPr>
          <w:noProof/>
        </w:rPr>
        <w:t xml:space="preserve"> v </w:t>
      </w:r>
      <w:r w:rsidRPr="001E2023">
        <w:rPr>
          <w:noProof/>
        </w:rPr>
        <w:t>rámci ktorého sa zohľadnia zmluvné záväzky</w:t>
      </w:r>
      <w:r w:rsidR="001E2023">
        <w:rPr>
          <w:noProof/>
        </w:rPr>
        <w:t xml:space="preserve"> a </w:t>
      </w:r>
      <w:r w:rsidRPr="001E2023">
        <w:rPr>
          <w:noProof/>
        </w:rPr>
        <w:t>správne finančné</w:t>
      </w:r>
      <w:r w:rsidR="001E2023">
        <w:rPr>
          <w:noProof/>
        </w:rPr>
        <w:t xml:space="preserve"> a </w:t>
      </w:r>
      <w:r w:rsidRPr="001E2023">
        <w:rPr>
          <w:noProof/>
        </w:rPr>
        <w:t>všeobecné riadenie. Vo všetkých zákazkách uzavretých medzi Komisiou</w:t>
      </w:r>
      <w:r w:rsidR="001E2023">
        <w:rPr>
          <w:noProof/>
        </w:rPr>
        <w:t xml:space="preserve"> a </w:t>
      </w:r>
      <w:r w:rsidRPr="001E2023">
        <w:rPr>
          <w:noProof/>
        </w:rPr>
        <w:t>prijímateľmi sa stanovujú opatrenia proti podvodom (kontroly, správy atď.). Vypracuje sa podrobný referenčný rámec, ktorý tvorí základ každej konkrétnej zákazky. Proces schvaľovania sa striktne riadi metodikou TAXUD TEMPO: dodávky alebo plnenie sa prehodnocujú,</w:t>
      </w:r>
      <w:r w:rsidR="001E2023">
        <w:rPr>
          <w:noProof/>
        </w:rPr>
        <w:t xml:space="preserve"> v </w:t>
      </w:r>
      <w:r w:rsidRPr="001E2023">
        <w:rPr>
          <w:noProof/>
        </w:rPr>
        <w:t>prípade potreby upravujú</w:t>
      </w:r>
      <w:r w:rsidR="001E2023">
        <w:rPr>
          <w:noProof/>
        </w:rPr>
        <w:t xml:space="preserve"> a </w:t>
      </w:r>
      <w:r w:rsidRPr="001E2023">
        <w:rPr>
          <w:noProof/>
        </w:rPr>
        <w:t>nakoniec sa výslovne prijmú (alebo zamietnu). Žiadnu faktúru nemožno uhradiť bez „potvrdenia</w:t>
      </w:r>
      <w:r w:rsidR="001E2023">
        <w:rPr>
          <w:noProof/>
        </w:rPr>
        <w:t xml:space="preserve"> o </w:t>
      </w:r>
      <w:r w:rsidRPr="001E2023">
        <w:rPr>
          <w:noProof/>
        </w:rPr>
        <w:t>schválení“.</w:t>
      </w:r>
    </w:p>
    <w:p w14:paraId="00D63810"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Technické overovanie verejnej zákazky</w:t>
      </w:r>
    </w:p>
    <w:p w14:paraId="35316467" w14:textId="77777777" w:rsidR="00E06ED6"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GR TAXUD vykonáva kontroly dodávok</w:t>
      </w:r>
      <w:r w:rsidR="001E2023">
        <w:rPr>
          <w:noProof/>
        </w:rPr>
        <w:t xml:space="preserve"> a </w:t>
      </w:r>
      <w:r w:rsidRPr="001E2023">
        <w:rPr>
          <w:noProof/>
        </w:rPr>
        <w:t>plnenia</w:t>
      </w:r>
      <w:r w:rsidR="001E2023">
        <w:rPr>
          <w:noProof/>
        </w:rPr>
        <w:t xml:space="preserve"> a </w:t>
      </w:r>
      <w:r w:rsidRPr="001E2023">
        <w:rPr>
          <w:noProof/>
        </w:rPr>
        <w:t>vykonáva dohľad nad prevádzkovými činnosťami</w:t>
      </w:r>
      <w:r w:rsidR="001E2023">
        <w:rPr>
          <w:noProof/>
        </w:rPr>
        <w:t xml:space="preserve"> a </w:t>
      </w:r>
      <w:r w:rsidRPr="001E2023">
        <w:rPr>
          <w:noProof/>
        </w:rPr>
        <w:t>službami, ktoré dodávatelia vykonávajú/poskytujú. Zároveň pravidelne vykonáva audity kvality</w:t>
      </w:r>
      <w:r w:rsidR="001E2023">
        <w:rPr>
          <w:noProof/>
        </w:rPr>
        <w:t xml:space="preserve"> a </w:t>
      </w:r>
      <w:r w:rsidRPr="001E2023">
        <w:rPr>
          <w:noProof/>
        </w:rPr>
        <w:t>bezpečnosti dodávateľov. Auditmi kvality sa overuje súlad konkrétnych procesov dodávateľov</w:t>
      </w:r>
      <w:r w:rsidR="001E2023">
        <w:rPr>
          <w:noProof/>
        </w:rPr>
        <w:t xml:space="preserve"> s </w:t>
      </w:r>
      <w:r w:rsidRPr="001E2023">
        <w:rPr>
          <w:noProof/>
        </w:rPr>
        <w:t>pravidlami</w:t>
      </w:r>
      <w:r w:rsidR="001E2023">
        <w:rPr>
          <w:noProof/>
        </w:rPr>
        <w:t xml:space="preserve"> a </w:t>
      </w:r>
      <w:r w:rsidRPr="001E2023">
        <w:rPr>
          <w:noProof/>
        </w:rPr>
        <w:t>postupmi stanovenými</w:t>
      </w:r>
      <w:r w:rsidR="001E2023">
        <w:rPr>
          <w:noProof/>
        </w:rPr>
        <w:t xml:space="preserve"> v </w:t>
      </w:r>
      <w:r w:rsidRPr="001E2023">
        <w:rPr>
          <w:noProof/>
        </w:rPr>
        <w:t>ich plánoch kvality. Bezpečnostné audity sú zamerané na osobitné procesy, postupy</w:t>
      </w:r>
      <w:r w:rsidR="001E2023">
        <w:rPr>
          <w:noProof/>
        </w:rPr>
        <w:t xml:space="preserve"> a </w:t>
      </w:r>
      <w:r w:rsidRPr="001E2023">
        <w:rPr>
          <w:noProof/>
        </w:rPr>
        <w:t>štruktúry.</w:t>
      </w:r>
    </w:p>
    <w:p w14:paraId="42E58BCD" w14:textId="77777777" w:rsidR="00C07833" w:rsidRPr="001E2023" w:rsidRDefault="00E06ED6" w:rsidP="00E06ED6">
      <w:pPr>
        <w:pStyle w:val="Text1"/>
        <w:pBdr>
          <w:top w:val="single" w:sz="4" w:space="1" w:color="auto"/>
          <w:left w:val="single" w:sz="4" w:space="4" w:color="auto"/>
          <w:bottom w:val="single" w:sz="4" w:space="1" w:color="auto"/>
          <w:right w:val="single" w:sz="4" w:space="4" w:color="auto"/>
        </w:pBdr>
        <w:rPr>
          <w:noProof/>
        </w:rPr>
      </w:pPr>
      <w:r w:rsidRPr="001E2023">
        <w:rPr>
          <w:noProof/>
        </w:rPr>
        <w:t>Okrem uvedených kontrol vykonáva GR TAXUD tradičné finančné kontroly:</w:t>
      </w:r>
    </w:p>
    <w:p w14:paraId="7B310848" w14:textId="77777777" w:rsidR="004A56D0" w:rsidRPr="001E2023" w:rsidRDefault="004A56D0" w:rsidP="004A56D0">
      <w:pPr>
        <w:pStyle w:val="Text1"/>
        <w:pBdr>
          <w:top w:val="single" w:sz="4" w:space="1" w:color="auto"/>
          <w:left w:val="single" w:sz="4" w:space="4" w:color="auto"/>
          <w:bottom w:val="single" w:sz="4" w:space="1" w:color="auto"/>
          <w:right w:val="single" w:sz="4" w:space="4" w:color="auto"/>
        </w:pBdr>
        <w:rPr>
          <w:noProof/>
        </w:rPr>
      </w:pPr>
      <w:r w:rsidRPr="001E2023">
        <w:rPr>
          <w:noProof/>
        </w:rPr>
        <w:t>Kontrola záväzkov ex ante:</w:t>
      </w:r>
    </w:p>
    <w:p w14:paraId="23179B5C" w14:textId="77777777" w:rsidR="004A56D0" w:rsidRPr="001E2023" w:rsidRDefault="004A56D0" w:rsidP="004A56D0">
      <w:pPr>
        <w:pStyle w:val="Text1"/>
        <w:pBdr>
          <w:top w:val="single" w:sz="4" w:space="1" w:color="auto"/>
          <w:left w:val="single" w:sz="4" w:space="4" w:color="auto"/>
          <w:bottom w:val="single" w:sz="4" w:space="1" w:color="auto"/>
          <w:right w:val="single" w:sz="4" w:space="4" w:color="auto"/>
        </w:pBdr>
        <w:rPr>
          <w:noProof/>
        </w:rPr>
      </w:pPr>
      <w:r w:rsidRPr="001E2023">
        <w:rPr>
          <w:noProof/>
        </w:rPr>
        <w:t>Všetky záväzky GR TAXUD kontroluje vedúci príslušného oddelenia financií, verejných zákaziek</w:t>
      </w:r>
      <w:r w:rsidR="001E2023">
        <w:rPr>
          <w:noProof/>
        </w:rPr>
        <w:t xml:space="preserve"> a </w:t>
      </w:r>
      <w:r w:rsidRPr="001E2023">
        <w:rPr>
          <w:noProof/>
        </w:rPr>
        <w:t xml:space="preserve">dodržiavania predpisov. Kontrole </w:t>
      </w:r>
      <w:r w:rsidRPr="001E2023">
        <w:rPr>
          <w:i/>
          <w:iCs/>
          <w:noProof/>
        </w:rPr>
        <w:t>ex ante</w:t>
      </w:r>
      <w:r w:rsidRPr="001E2023">
        <w:rPr>
          <w:noProof/>
        </w:rPr>
        <w:t xml:space="preserve"> je teda podrobených 100</w:t>
      </w:r>
      <w:r w:rsidR="001E2023">
        <w:rPr>
          <w:noProof/>
        </w:rPr>
        <w:t> %</w:t>
      </w:r>
      <w:r w:rsidRPr="001E2023">
        <w:rPr>
          <w:noProof/>
        </w:rPr>
        <w:t xml:space="preserve"> viazaných súm. Tento postup poskytuje vysoký stupeň istoty, pokiaľ ide</w:t>
      </w:r>
      <w:r w:rsidR="001E2023">
        <w:rPr>
          <w:noProof/>
        </w:rPr>
        <w:t xml:space="preserve"> o </w:t>
      </w:r>
      <w:r w:rsidRPr="001E2023">
        <w:rPr>
          <w:noProof/>
        </w:rPr>
        <w:t>zákonnosť</w:t>
      </w:r>
      <w:r w:rsidR="001E2023">
        <w:rPr>
          <w:noProof/>
        </w:rPr>
        <w:t xml:space="preserve"> a </w:t>
      </w:r>
      <w:r w:rsidRPr="001E2023">
        <w:rPr>
          <w:noProof/>
        </w:rPr>
        <w:t>správnosť transakcií.</w:t>
      </w:r>
    </w:p>
    <w:p w14:paraId="5BAFCCCC" w14:textId="77777777" w:rsidR="004A56D0" w:rsidRPr="001E2023" w:rsidRDefault="004A56D0" w:rsidP="004A56D0">
      <w:pPr>
        <w:pStyle w:val="Text1"/>
        <w:pBdr>
          <w:top w:val="single" w:sz="4" w:space="1" w:color="auto"/>
          <w:left w:val="single" w:sz="4" w:space="4" w:color="auto"/>
          <w:bottom w:val="single" w:sz="4" w:space="1" w:color="auto"/>
          <w:right w:val="single" w:sz="4" w:space="4" w:color="auto"/>
        </w:pBdr>
        <w:rPr>
          <w:noProof/>
        </w:rPr>
      </w:pPr>
      <w:r w:rsidRPr="001E2023">
        <w:rPr>
          <w:noProof/>
        </w:rPr>
        <w:t>Kontrola platieb ex ante:</w:t>
      </w:r>
    </w:p>
    <w:p w14:paraId="025086AE" w14:textId="77777777" w:rsidR="008545B7" w:rsidRPr="001E2023" w:rsidRDefault="004A56D0" w:rsidP="008545B7">
      <w:pPr>
        <w:pStyle w:val="Text1"/>
        <w:pBdr>
          <w:top w:val="single" w:sz="4" w:space="1" w:color="auto"/>
          <w:left w:val="single" w:sz="4" w:space="4" w:color="auto"/>
          <w:bottom w:val="single" w:sz="4" w:space="1" w:color="auto"/>
          <w:right w:val="single" w:sz="4" w:space="4" w:color="auto"/>
        </w:pBdr>
        <w:rPr>
          <w:noProof/>
        </w:rPr>
      </w:pPr>
      <w:r w:rsidRPr="001E2023">
        <w:rPr>
          <w:noProof/>
        </w:rPr>
        <w:t xml:space="preserve">Kontrole </w:t>
      </w:r>
      <w:r w:rsidRPr="001E2023">
        <w:rPr>
          <w:i/>
          <w:iCs/>
          <w:noProof/>
        </w:rPr>
        <w:t>ex ante</w:t>
      </w:r>
      <w:r w:rsidRPr="001E2023">
        <w:rPr>
          <w:noProof/>
        </w:rPr>
        <w:t xml:space="preserve"> je podrobených 100</w:t>
      </w:r>
      <w:r w:rsidR="001E2023">
        <w:rPr>
          <w:noProof/>
        </w:rPr>
        <w:t> %</w:t>
      </w:r>
      <w:r w:rsidRPr="001E2023">
        <w:rPr>
          <w:noProof/>
        </w:rPr>
        <w:t xml:space="preserve"> platieb. Okrem toho sa každý týždeň náhodne vyberie aspoň jedna platba (zo všetkých kategórií výdavkov) na dodatočnú kontrolu </w:t>
      </w:r>
      <w:r w:rsidRPr="001E2023">
        <w:rPr>
          <w:i/>
          <w:iCs/>
          <w:noProof/>
        </w:rPr>
        <w:t>ex ante</w:t>
      </w:r>
      <w:r w:rsidRPr="001E2023">
        <w:rPr>
          <w:noProof/>
        </w:rPr>
        <w:t>, ktorú vykonáva vedúci príslušného oddelenia financií, verejných zákaziek</w:t>
      </w:r>
      <w:r w:rsidR="001E2023">
        <w:rPr>
          <w:noProof/>
        </w:rPr>
        <w:t xml:space="preserve"> a </w:t>
      </w:r>
      <w:r w:rsidRPr="001E2023">
        <w:rPr>
          <w:noProof/>
        </w:rPr>
        <w:t>dodržiavania predpisov. Neexistuje žiaden cieľ týkajúci sa pokrytia, keďže účel tejto kontroly spočíva</w:t>
      </w:r>
      <w:r w:rsidR="001E2023">
        <w:rPr>
          <w:noProof/>
        </w:rPr>
        <w:t xml:space="preserve"> v </w:t>
      </w:r>
      <w:r w:rsidRPr="001E2023">
        <w:rPr>
          <w:noProof/>
        </w:rPr>
        <w:t>„náhodnej“ kontrole platieb</w:t>
      </w:r>
      <w:r w:rsidR="001E2023">
        <w:rPr>
          <w:noProof/>
        </w:rPr>
        <w:t xml:space="preserve"> s </w:t>
      </w:r>
      <w:r w:rsidRPr="001E2023">
        <w:rPr>
          <w:noProof/>
        </w:rPr>
        <w:t>cieľom overiť, či boli všetky platby pripravené</w:t>
      </w:r>
      <w:r w:rsidR="001E2023">
        <w:rPr>
          <w:noProof/>
        </w:rPr>
        <w:t xml:space="preserve"> v </w:t>
      </w:r>
      <w:r w:rsidRPr="001E2023">
        <w:rPr>
          <w:noProof/>
        </w:rPr>
        <w:t>súlade</w:t>
      </w:r>
      <w:r w:rsidR="001E2023">
        <w:rPr>
          <w:noProof/>
        </w:rPr>
        <w:t xml:space="preserve"> s </w:t>
      </w:r>
      <w:r w:rsidRPr="001E2023">
        <w:rPr>
          <w:noProof/>
        </w:rPr>
        <w:t>požiadavkami. Zvyšné platby sa každodenne spracúvajú podľa platných pravidiel.</w:t>
      </w:r>
    </w:p>
    <w:p w14:paraId="664B6925" w14:textId="77777777" w:rsidR="008545B7" w:rsidRPr="001E2023" w:rsidRDefault="008545B7" w:rsidP="008545B7">
      <w:pPr>
        <w:pStyle w:val="Text1"/>
        <w:pBdr>
          <w:top w:val="single" w:sz="4" w:space="1" w:color="auto"/>
          <w:left w:val="single" w:sz="4" w:space="4" w:color="auto"/>
          <w:bottom w:val="single" w:sz="4" w:space="1" w:color="auto"/>
          <w:right w:val="single" w:sz="4" w:space="4" w:color="auto"/>
        </w:pBdr>
        <w:rPr>
          <w:noProof/>
        </w:rPr>
      </w:pPr>
      <w:r w:rsidRPr="001E2023">
        <w:rPr>
          <w:noProof/>
        </w:rPr>
        <w:t>Vyhlásenia povoľujúcich úradníkov vymenovaných subdelegovaním</w:t>
      </w:r>
    </w:p>
    <w:p w14:paraId="760DA986" w14:textId="77777777" w:rsidR="00EF7953" w:rsidRPr="001E2023" w:rsidRDefault="008545B7">
      <w:pPr>
        <w:pStyle w:val="Text1"/>
        <w:pBdr>
          <w:top w:val="single" w:sz="4" w:space="1" w:color="auto"/>
          <w:left w:val="single" w:sz="4" w:space="4" w:color="auto"/>
          <w:bottom w:val="single" w:sz="4" w:space="1" w:color="auto"/>
          <w:right w:val="single" w:sz="4" w:space="4" w:color="auto"/>
        </w:pBdr>
        <w:rPr>
          <w:noProof/>
        </w:rPr>
      </w:pPr>
      <w:r w:rsidRPr="001E2023">
        <w:rPr>
          <w:noProof/>
        </w:rPr>
        <w:t>Všetci povoľujúci úradníci vymenovaní subdelegovaním podpisujú vyhlásenia, ktoré sa prikladajú</w:t>
      </w:r>
      <w:r w:rsidR="001E2023">
        <w:rPr>
          <w:noProof/>
        </w:rPr>
        <w:t xml:space="preserve"> k </w:t>
      </w:r>
      <w:r w:rsidRPr="001E2023">
        <w:rPr>
          <w:noProof/>
        </w:rPr>
        <w:t>výročnej správe</w:t>
      </w:r>
      <w:r w:rsidR="001E2023">
        <w:rPr>
          <w:noProof/>
        </w:rPr>
        <w:t xml:space="preserve"> o </w:t>
      </w:r>
      <w:r w:rsidRPr="001E2023">
        <w:rPr>
          <w:noProof/>
        </w:rPr>
        <w:t>činnosti za príslušný rok. Tieto vyhlásenia sa vzťahujú na operácie</w:t>
      </w:r>
      <w:r w:rsidR="001E2023">
        <w:rPr>
          <w:noProof/>
        </w:rPr>
        <w:t xml:space="preserve"> v </w:t>
      </w:r>
      <w:r w:rsidRPr="001E2023">
        <w:rPr>
          <w:noProof/>
        </w:rPr>
        <w:t>rámci programu. Povoľujúci úradníci vymenovaní subdelegovaním vyhlasujú, že operácie súvisiace</w:t>
      </w:r>
      <w:r w:rsidR="001E2023">
        <w:rPr>
          <w:noProof/>
        </w:rPr>
        <w:t xml:space="preserve"> s </w:t>
      </w:r>
      <w:r w:rsidRPr="001E2023">
        <w:rPr>
          <w:noProof/>
        </w:rPr>
        <w:t>plnením rozpočtu boli vykonané</w:t>
      </w:r>
      <w:r w:rsidR="001E2023">
        <w:rPr>
          <w:noProof/>
        </w:rPr>
        <w:t xml:space="preserve"> v </w:t>
      </w:r>
      <w:r w:rsidRPr="001E2023">
        <w:rPr>
          <w:noProof/>
        </w:rPr>
        <w:t>súlade so zásadami správneho finančného riadenia, že zavedené systémy riadenia</w:t>
      </w:r>
      <w:r w:rsidR="001E2023">
        <w:rPr>
          <w:noProof/>
        </w:rPr>
        <w:t xml:space="preserve"> </w:t>
      </w:r>
      <w:r w:rsidR="001E2023">
        <w:rPr>
          <w:noProof/>
        </w:rPr>
        <w:lastRenderedPageBreak/>
        <w:t>a </w:t>
      </w:r>
      <w:r w:rsidRPr="001E2023">
        <w:rPr>
          <w:noProof/>
        </w:rPr>
        <w:t>kontroly poskytli dostatočnú záruku zákonnosti</w:t>
      </w:r>
      <w:r w:rsidR="001E2023">
        <w:rPr>
          <w:noProof/>
        </w:rPr>
        <w:t xml:space="preserve"> a </w:t>
      </w:r>
      <w:r w:rsidRPr="001E2023">
        <w:rPr>
          <w:noProof/>
        </w:rPr>
        <w:t>regulárnosti transakcií, že riziká súvisiace</w:t>
      </w:r>
      <w:r w:rsidR="001E2023">
        <w:rPr>
          <w:noProof/>
        </w:rPr>
        <w:t xml:space="preserve"> s </w:t>
      </w:r>
      <w:r w:rsidRPr="001E2023">
        <w:rPr>
          <w:noProof/>
        </w:rPr>
        <w:t>týmito operáciami boli náležite zistené, oznámené</w:t>
      </w:r>
      <w:r w:rsidR="001E2023">
        <w:rPr>
          <w:noProof/>
        </w:rPr>
        <w:t xml:space="preserve"> a </w:t>
      </w:r>
      <w:r w:rsidRPr="001E2023">
        <w:rPr>
          <w:noProof/>
        </w:rPr>
        <w:t>že boli vykonané zmierňujúce opatrenia.</w:t>
      </w:r>
    </w:p>
    <w:p w14:paraId="052D7EE8" w14:textId="77777777" w:rsidR="001E2023" w:rsidRPr="001E2023" w:rsidRDefault="00EF7953">
      <w:pPr>
        <w:pStyle w:val="ManualHeading3"/>
        <w:rPr>
          <w:noProof/>
        </w:rPr>
      </w:pPr>
      <w:bookmarkStart w:id="48" w:name="_Toc514938048"/>
      <w:bookmarkStart w:id="49" w:name="_Toc520485047"/>
      <w:r w:rsidRPr="001E2023">
        <w:rPr>
          <w:noProof/>
        </w:rPr>
        <w:t>2.2.3.</w:t>
      </w:r>
      <w:r w:rsidRPr="001E2023">
        <w:rPr>
          <w:noProof/>
        </w:rPr>
        <w:tab/>
        <w:t>Odhad</w:t>
      </w:r>
      <w:r w:rsidR="001E2023">
        <w:rPr>
          <w:noProof/>
        </w:rPr>
        <w:t xml:space="preserve"> a </w:t>
      </w:r>
      <w:r w:rsidRPr="001E2023">
        <w:rPr>
          <w:noProof/>
        </w:rPr>
        <w:t>opodstatnenie nákladovej účinnosti kontrol (pomer medzi nákladmi na kontroly</w:t>
      </w:r>
      <w:r w:rsidR="001E2023">
        <w:rPr>
          <w:noProof/>
        </w:rPr>
        <w:t xml:space="preserve"> a </w:t>
      </w:r>
      <w:r w:rsidRPr="001E2023">
        <w:rPr>
          <w:noProof/>
        </w:rPr>
        <w:t>hodnotou súvisiacich riadených finančných prostriedkov)</w:t>
      </w:r>
      <w:r w:rsidR="001E2023">
        <w:rPr>
          <w:noProof/>
        </w:rPr>
        <w:t xml:space="preserve"> a </w:t>
      </w:r>
      <w:r w:rsidRPr="001E2023">
        <w:rPr>
          <w:noProof/>
        </w:rPr>
        <w:t>posúdenie očakávaných úrovní rizika chyby (pri platbe</w:t>
      </w:r>
      <w:r w:rsidR="001E2023">
        <w:rPr>
          <w:noProof/>
        </w:rPr>
        <w:t xml:space="preserve"> a </w:t>
      </w:r>
      <w:r w:rsidRPr="001E2023">
        <w:rPr>
          <w:noProof/>
        </w:rPr>
        <w:t>uzavretí)</w:t>
      </w:r>
      <w:bookmarkEnd w:id="48"/>
      <w:bookmarkEnd w:id="49"/>
    </w:p>
    <w:p w14:paraId="3D6A3C42" w14:textId="77777777" w:rsidR="001E2023" w:rsidRPr="001E2023" w:rsidRDefault="00030D02">
      <w:pPr>
        <w:pStyle w:val="Text1"/>
        <w:pBdr>
          <w:top w:val="single" w:sz="4" w:space="1" w:color="auto"/>
          <w:left w:val="single" w:sz="4" w:space="4" w:color="auto"/>
          <w:bottom w:val="single" w:sz="4" w:space="1" w:color="auto"/>
          <w:right w:val="single" w:sz="4" w:space="4" w:color="auto"/>
        </w:pBdr>
        <w:rPr>
          <w:noProof/>
        </w:rPr>
      </w:pPr>
      <w:r w:rsidRPr="001E2023">
        <w:rPr>
          <w:noProof/>
        </w:rPr>
        <w:t>Zavedené kontroly poskytujú GR TAXUD dostatočnú záruku kvality</w:t>
      </w:r>
      <w:r w:rsidR="001E2023">
        <w:rPr>
          <w:noProof/>
        </w:rPr>
        <w:t xml:space="preserve"> a </w:t>
      </w:r>
      <w:r w:rsidRPr="001E2023">
        <w:rPr>
          <w:noProof/>
        </w:rPr>
        <w:t>správnosti výdavkov</w:t>
      </w:r>
      <w:r w:rsidR="001E2023">
        <w:rPr>
          <w:noProof/>
        </w:rPr>
        <w:t xml:space="preserve"> a </w:t>
      </w:r>
      <w:r w:rsidRPr="001E2023">
        <w:rPr>
          <w:noProof/>
        </w:rPr>
        <w:t>znižujú riziko nedodržiavania predpisov. Uvedené opatrenia stratégie kontroly znižujú potenciálne riziká pod cieľovú úroveň 2</w:t>
      </w:r>
      <w:r w:rsidR="001E2023">
        <w:rPr>
          <w:noProof/>
        </w:rPr>
        <w:t> % a </w:t>
      </w:r>
      <w:r w:rsidRPr="001E2023">
        <w:rPr>
          <w:noProof/>
        </w:rPr>
        <w:t>dotýkajú sa všetkých prijímateľov. Akékoľvek dodatočné opatrenia na ďalšie zníženie rizika by viedli</w:t>
      </w:r>
      <w:r w:rsidR="001E2023">
        <w:rPr>
          <w:noProof/>
        </w:rPr>
        <w:t xml:space="preserve"> k </w:t>
      </w:r>
      <w:r w:rsidRPr="001E2023">
        <w:rPr>
          <w:noProof/>
        </w:rPr>
        <w:t>neprimerane vysokým nákladom,</w:t>
      </w:r>
      <w:r w:rsidR="001E2023">
        <w:rPr>
          <w:noProof/>
        </w:rPr>
        <w:t xml:space="preserve"> a </w:t>
      </w:r>
      <w:r w:rsidRPr="001E2023">
        <w:rPr>
          <w:noProof/>
        </w:rPr>
        <w:t>preto sa</w:t>
      </w:r>
      <w:r w:rsidR="001E2023">
        <w:rPr>
          <w:noProof/>
        </w:rPr>
        <w:t xml:space="preserve"> s </w:t>
      </w:r>
      <w:r w:rsidRPr="001E2023">
        <w:rPr>
          <w:noProof/>
        </w:rPr>
        <w:t>nimi nepočíta. Celkové náklady spojené</w:t>
      </w:r>
      <w:r w:rsidR="001E2023">
        <w:rPr>
          <w:noProof/>
        </w:rPr>
        <w:t xml:space="preserve"> s </w:t>
      </w:r>
      <w:r w:rsidRPr="001E2023">
        <w:rPr>
          <w:noProof/>
        </w:rPr>
        <w:t>vykonávaním uvedenej stratégie kontroly</w:t>
      </w:r>
      <w:r w:rsidR="001E2023">
        <w:rPr>
          <w:noProof/>
        </w:rPr>
        <w:t xml:space="preserve"> v </w:t>
      </w:r>
      <w:r w:rsidRPr="001E2023">
        <w:rPr>
          <w:noProof/>
        </w:rPr>
        <w:t>súvislosti so všetkými výdavkami</w:t>
      </w:r>
      <w:r w:rsidR="001E2023">
        <w:rPr>
          <w:noProof/>
        </w:rPr>
        <w:t xml:space="preserve"> v </w:t>
      </w:r>
      <w:r w:rsidRPr="001E2023">
        <w:rPr>
          <w:noProof/>
        </w:rPr>
        <w:t>rámci programu Fiscalis 2027 sú obmedzené na 1,6</w:t>
      </w:r>
      <w:r w:rsidR="001E2023">
        <w:rPr>
          <w:noProof/>
        </w:rPr>
        <w:t> %</w:t>
      </w:r>
      <w:r w:rsidRPr="001E2023">
        <w:rPr>
          <w:noProof/>
        </w:rPr>
        <w:t xml:space="preserve"> celkových vykonaných platieb. Očakáva sa, že tento podiel zostane rovnaký aj</w:t>
      </w:r>
      <w:r w:rsidR="001E2023">
        <w:rPr>
          <w:noProof/>
        </w:rPr>
        <w:t xml:space="preserve"> v </w:t>
      </w:r>
      <w:r w:rsidRPr="001E2023">
        <w:rPr>
          <w:noProof/>
        </w:rPr>
        <w:t>rámci tejto iniciatívy. Vďaka stratégii kontroly programu sa riziko nedodržiavania predpisov obmedzuje takmer na nulu, pričom táto stratégia zostáva primeraná inherentným rizikám</w:t>
      </w:r>
      <w:r w:rsidR="001E2023" w:rsidRPr="001E2023">
        <w:rPr>
          <w:noProof/>
        </w:rPr>
        <w:t>.</w:t>
      </w:r>
    </w:p>
    <w:p w14:paraId="2F968FBC" w14:textId="77777777" w:rsidR="001E2023" w:rsidRPr="001E2023" w:rsidRDefault="00EF7953">
      <w:pPr>
        <w:pStyle w:val="ManualHeading2"/>
        <w:rPr>
          <w:noProof/>
        </w:rPr>
      </w:pPr>
      <w:bookmarkStart w:id="50" w:name="_Toc514938049"/>
      <w:bookmarkStart w:id="51" w:name="_Toc520485048"/>
      <w:r w:rsidRPr="001E2023">
        <w:rPr>
          <w:noProof/>
        </w:rPr>
        <w:t>2.3.</w:t>
      </w:r>
      <w:r w:rsidRPr="001E2023">
        <w:rPr>
          <w:noProof/>
        </w:rPr>
        <w:tab/>
        <w:t>Opatrenia na predchádzanie podvodom</w:t>
      </w:r>
      <w:r w:rsidR="001E2023">
        <w:rPr>
          <w:noProof/>
        </w:rPr>
        <w:t xml:space="preserve"> a </w:t>
      </w:r>
      <w:r w:rsidRPr="001E2023">
        <w:rPr>
          <w:noProof/>
        </w:rPr>
        <w:t>nezrovnalostiam</w:t>
      </w:r>
      <w:bookmarkEnd w:id="50"/>
      <w:bookmarkEnd w:id="51"/>
    </w:p>
    <w:p w14:paraId="3E14FE62" w14:textId="77777777" w:rsidR="00EF7953" w:rsidRPr="001E2023" w:rsidRDefault="00EF7953">
      <w:pPr>
        <w:pStyle w:val="Text1"/>
        <w:rPr>
          <w:i/>
          <w:noProof/>
          <w:sz w:val="20"/>
        </w:rPr>
      </w:pPr>
      <w:r w:rsidRPr="001E2023">
        <w:rPr>
          <w:i/>
          <w:noProof/>
          <w:sz w:val="20"/>
        </w:rPr>
        <w:t>Uveďte existujúce alebo plánované preventívne</w:t>
      </w:r>
      <w:r w:rsidR="001E2023">
        <w:rPr>
          <w:i/>
          <w:noProof/>
          <w:sz w:val="20"/>
        </w:rPr>
        <w:t xml:space="preserve"> a </w:t>
      </w:r>
      <w:r w:rsidRPr="001E2023">
        <w:rPr>
          <w:i/>
          <w:noProof/>
          <w:sz w:val="20"/>
        </w:rPr>
        <w:t>ochranné opatrenia, napr. zo stratégie boja proti podvodom.</w:t>
      </w:r>
    </w:p>
    <w:p w14:paraId="466FBC55" w14:textId="77777777" w:rsidR="00EF7953" w:rsidRPr="001E2023" w:rsidRDefault="006C7F38">
      <w:pPr>
        <w:pStyle w:val="Text1"/>
        <w:pBdr>
          <w:top w:val="single" w:sz="4" w:space="1" w:color="auto"/>
          <w:left w:val="single" w:sz="4" w:space="4" w:color="auto"/>
          <w:bottom w:val="single" w:sz="4" w:space="1" w:color="auto"/>
          <w:right w:val="single" w:sz="4" w:space="4" w:color="auto"/>
        </w:pBdr>
        <w:rPr>
          <w:noProof/>
        </w:rPr>
      </w:pPr>
      <w:r w:rsidRPr="001E2023">
        <w:rPr>
          <w:noProof/>
        </w:rPr>
        <w:t>Európsky úrad pre boj proti podvodom (OLAF) môže vykonávať vyšetrovania vrátane kontrol</w:t>
      </w:r>
      <w:r w:rsidR="001E2023">
        <w:rPr>
          <w:noProof/>
        </w:rPr>
        <w:t xml:space="preserve"> a </w:t>
      </w:r>
      <w:r w:rsidRPr="001E2023">
        <w:rPr>
          <w:noProof/>
        </w:rPr>
        <w:t>inšpekcií na mieste</w:t>
      </w:r>
      <w:r w:rsidR="001E2023">
        <w:rPr>
          <w:noProof/>
        </w:rPr>
        <w:t xml:space="preserve"> v </w:t>
      </w:r>
      <w:r w:rsidRPr="001E2023">
        <w:rPr>
          <w:noProof/>
        </w:rPr>
        <w:t>súlade</w:t>
      </w:r>
      <w:r w:rsidR="001E2023">
        <w:rPr>
          <w:noProof/>
        </w:rPr>
        <w:t xml:space="preserve"> s </w:t>
      </w:r>
      <w:r w:rsidRPr="001E2023">
        <w:rPr>
          <w:noProof/>
        </w:rPr>
        <w:t>ustanoveniami</w:t>
      </w:r>
      <w:r w:rsidR="001E2023">
        <w:rPr>
          <w:noProof/>
        </w:rPr>
        <w:t xml:space="preserve"> a </w:t>
      </w:r>
      <w:r w:rsidRPr="001E2023">
        <w:rPr>
          <w:noProof/>
        </w:rPr>
        <w:t>postupmi stanovenými</w:t>
      </w:r>
      <w:r w:rsidR="001E2023">
        <w:rPr>
          <w:noProof/>
        </w:rPr>
        <w:t xml:space="preserve"> v </w:t>
      </w:r>
      <w:r w:rsidRPr="001E2023">
        <w:rPr>
          <w:noProof/>
        </w:rPr>
        <w:t>nariadení Európskeho parlamentu</w:t>
      </w:r>
      <w:r w:rsidR="001E2023">
        <w:rPr>
          <w:noProof/>
        </w:rPr>
        <w:t xml:space="preserve"> a </w:t>
      </w:r>
      <w:r w:rsidRPr="001E2023">
        <w:rPr>
          <w:noProof/>
        </w:rPr>
        <w:t xml:space="preserve">Rady (ES) </w:t>
      </w:r>
      <w:r w:rsidR="001E2023">
        <w:rPr>
          <w:noProof/>
        </w:rPr>
        <w:t>č. </w:t>
      </w:r>
      <w:r w:rsidRPr="001E2023">
        <w:rPr>
          <w:noProof/>
        </w:rPr>
        <w:t>1073/1999</w:t>
      </w:r>
      <w:r w:rsidR="00AA6E07" w:rsidRPr="001E2023">
        <w:rPr>
          <w:rStyle w:val="Odkaznapoznmkupodiarou"/>
          <w:noProof/>
        </w:rPr>
        <w:footnoteReference w:id="16"/>
      </w:r>
      <w:r w:rsidR="001E2023">
        <w:rPr>
          <w:noProof/>
        </w:rPr>
        <w:t xml:space="preserve"> a v </w:t>
      </w:r>
      <w:r w:rsidRPr="001E2023">
        <w:rPr>
          <w:noProof/>
        </w:rPr>
        <w:t xml:space="preserve">nariadení Rady (Euratom, ES) </w:t>
      </w:r>
      <w:r w:rsidR="001E2023">
        <w:rPr>
          <w:noProof/>
        </w:rPr>
        <w:t>č. </w:t>
      </w:r>
      <w:r w:rsidRPr="001E2023">
        <w:rPr>
          <w:noProof/>
        </w:rPr>
        <w:t>2185/96</w:t>
      </w:r>
      <w:r w:rsidR="009335ED" w:rsidRPr="001E2023">
        <w:rPr>
          <w:rStyle w:val="Odkaznapoznmkupodiarou"/>
          <w:noProof/>
        </w:rPr>
        <w:footnoteReference w:id="17"/>
      </w:r>
      <w:r w:rsidR="001E2023">
        <w:rPr>
          <w:noProof/>
        </w:rPr>
        <w:t xml:space="preserve"> s </w:t>
      </w:r>
      <w:r w:rsidRPr="001E2023">
        <w:rPr>
          <w:noProof/>
        </w:rPr>
        <w:t>cieľom zistiť, či</w:t>
      </w:r>
      <w:r w:rsidR="001E2023">
        <w:rPr>
          <w:noProof/>
        </w:rPr>
        <w:t xml:space="preserve"> v </w:t>
      </w:r>
      <w:r w:rsidRPr="001E2023">
        <w:rPr>
          <w:noProof/>
        </w:rPr>
        <w:t>súvislosti</w:t>
      </w:r>
      <w:r w:rsidR="001E2023">
        <w:rPr>
          <w:noProof/>
        </w:rPr>
        <w:t xml:space="preserve"> s </w:t>
      </w:r>
      <w:r w:rsidRPr="001E2023">
        <w:rPr>
          <w:noProof/>
        </w:rPr>
        <w:t>dohodou alebo rozhodnutím</w:t>
      </w:r>
      <w:r w:rsidR="001E2023">
        <w:rPr>
          <w:noProof/>
        </w:rPr>
        <w:t xml:space="preserve"> o </w:t>
      </w:r>
      <w:r w:rsidRPr="001E2023">
        <w:rPr>
          <w:noProof/>
        </w:rPr>
        <w:t>grante alebo so zmluvou financovanou podľa tohto nariadenia nedošlo</w:t>
      </w:r>
      <w:r w:rsidR="001E2023">
        <w:rPr>
          <w:noProof/>
        </w:rPr>
        <w:t xml:space="preserve"> k </w:t>
      </w:r>
      <w:r w:rsidRPr="001E2023">
        <w:rPr>
          <w:noProof/>
        </w:rPr>
        <w:t>podvodu, ku korupcii alebo</w:t>
      </w:r>
      <w:r w:rsidR="001E2023">
        <w:rPr>
          <w:noProof/>
        </w:rPr>
        <w:t xml:space="preserve"> k </w:t>
      </w:r>
      <w:r w:rsidRPr="001E2023">
        <w:rPr>
          <w:noProof/>
        </w:rPr>
        <w:t>akémukoľvek inému protiprávnemu konaniu poškodzujúcemu finančné záujmy Únie.</w:t>
      </w:r>
    </w:p>
    <w:p w14:paraId="4798F4B3" w14:textId="77777777" w:rsidR="00EF7953" w:rsidRPr="001E2023" w:rsidRDefault="00EF7953">
      <w:pPr>
        <w:rPr>
          <w:noProof/>
        </w:rPr>
        <w:sectPr w:rsidR="00EF7953" w:rsidRPr="001E2023" w:rsidSect="003F317C">
          <w:pgSz w:w="11907" w:h="16840" w:code="9"/>
          <w:pgMar w:top="1134" w:right="1418" w:bottom="1134" w:left="1418" w:header="709" w:footer="709" w:gutter="0"/>
          <w:cols w:space="708"/>
          <w:docGrid w:linePitch="360"/>
        </w:sectPr>
      </w:pPr>
    </w:p>
    <w:p w14:paraId="51F05F7A" w14:textId="77777777" w:rsidR="001E2023" w:rsidRPr="001E2023" w:rsidRDefault="00EF7953">
      <w:pPr>
        <w:pStyle w:val="ManualHeading1"/>
        <w:rPr>
          <w:noProof/>
        </w:rPr>
      </w:pPr>
      <w:bookmarkStart w:id="52" w:name="_Toc514938050"/>
      <w:bookmarkStart w:id="53" w:name="_Toc520485049"/>
      <w:r w:rsidRPr="001E2023">
        <w:rPr>
          <w:noProof/>
        </w:rPr>
        <w:lastRenderedPageBreak/>
        <w:t>3.</w:t>
      </w:r>
      <w:r w:rsidRPr="001E2023">
        <w:rPr>
          <w:noProof/>
        </w:rPr>
        <w:tab/>
        <w:t>ODHADOVANÝ FINANČNÝ VPLYV NÁVRHU/INICIATÍVY</w:t>
      </w:r>
      <w:bookmarkEnd w:id="52"/>
      <w:bookmarkEnd w:id="53"/>
    </w:p>
    <w:p w14:paraId="0D8BAD1B" w14:textId="77777777" w:rsidR="001E2023" w:rsidRPr="001E2023" w:rsidRDefault="00EF7953">
      <w:pPr>
        <w:pStyle w:val="ManualHeading2"/>
        <w:rPr>
          <w:noProof/>
        </w:rPr>
      </w:pPr>
      <w:bookmarkStart w:id="54" w:name="_Toc514938051"/>
      <w:bookmarkStart w:id="55" w:name="_Toc520485050"/>
      <w:r w:rsidRPr="001E2023">
        <w:rPr>
          <w:noProof/>
        </w:rPr>
        <w:t>3.1.</w:t>
      </w:r>
      <w:r w:rsidRPr="001E2023">
        <w:rPr>
          <w:noProof/>
        </w:rPr>
        <w:tab/>
        <w:t>Príslušné okruhy viacročného finančného rámca</w:t>
      </w:r>
      <w:r w:rsidR="001E2023">
        <w:rPr>
          <w:noProof/>
        </w:rPr>
        <w:t xml:space="preserve"> a </w:t>
      </w:r>
      <w:r w:rsidRPr="001E2023">
        <w:rPr>
          <w:noProof/>
        </w:rPr>
        <w:t>rozpočtové riadky výdavkov</w:t>
      </w:r>
      <w:bookmarkEnd w:id="54"/>
      <w:bookmarkEnd w:id="55"/>
    </w:p>
    <w:p w14:paraId="427C99DC" w14:textId="77777777" w:rsidR="001E2023" w:rsidRPr="001E2023" w:rsidRDefault="00EF7953">
      <w:pPr>
        <w:pStyle w:val="ListBullet1"/>
        <w:rPr>
          <w:noProof/>
        </w:rPr>
      </w:pPr>
      <w:r w:rsidRPr="001E2023">
        <w:rPr>
          <w:noProof/>
        </w:rPr>
        <w:t>Existujúce rozpočtové riadky</w:t>
      </w:r>
    </w:p>
    <w:p w14:paraId="4127577A" w14:textId="77777777" w:rsidR="00EF7953" w:rsidRPr="001E2023" w:rsidRDefault="00EF7953">
      <w:pPr>
        <w:pStyle w:val="Text1"/>
        <w:rPr>
          <w:i/>
          <w:noProof/>
        </w:rPr>
      </w:pPr>
      <w:r w:rsidRPr="001E2023">
        <w:rPr>
          <w:i/>
          <w:noProof/>
        </w:rPr>
        <w:t>V poradí,</w:t>
      </w:r>
      <w:r w:rsidR="001E2023">
        <w:rPr>
          <w:i/>
          <w:noProof/>
        </w:rPr>
        <w:t xml:space="preserve"> v </w:t>
      </w:r>
      <w:r w:rsidRPr="001E2023">
        <w:rPr>
          <w:i/>
          <w:noProof/>
        </w:rPr>
        <w:t>akom za sebou nasledujú okruhy viacročného finančného rámca</w:t>
      </w:r>
      <w:r w:rsidR="001E2023">
        <w:rPr>
          <w:i/>
          <w:noProof/>
        </w:rPr>
        <w:t xml:space="preserve"> a </w:t>
      </w:r>
      <w:r w:rsidRPr="001E2023">
        <w:rPr>
          <w:i/>
          <w:noProof/>
        </w:rPr>
        <w:t>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284"/>
        <w:gridCol w:w="752"/>
        <w:gridCol w:w="1448"/>
      </w:tblGrid>
      <w:tr w:rsidR="00EF7953" w:rsidRPr="001E2023" w14:paraId="4859FA9E" w14:textId="77777777" w:rsidTr="00AA0179">
        <w:tc>
          <w:tcPr>
            <w:tcW w:w="1080" w:type="dxa"/>
            <w:vMerge w:val="restart"/>
            <w:tcMar>
              <w:left w:w="28" w:type="dxa"/>
              <w:right w:w="28" w:type="dxa"/>
            </w:tcMar>
            <w:vAlign w:val="center"/>
          </w:tcPr>
          <w:p w14:paraId="1D53B2E6" w14:textId="77777777" w:rsidR="00EF7953" w:rsidRPr="001E2023" w:rsidRDefault="00EF7953">
            <w:pPr>
              <w:spacing w:before="60" w:after="60"/>
              <w:jc w:val="center"/>
              <w:rPr>
                <w:noProof/>
              </w:rPr>
            </w:pPr>
            <w:r w:rsidRPr="001E2023">
              <w:rPr>
                <w:noProof/>
                <w:sz w:val="18"/>
              </w:rPr>
              <w:t>Okruh viacročného finančného rámca</w:t>
            </w:r>
          </w:p>
        </w:tc>
        <w:tc>
          <w:tcPr>
            <w:tcW w:w="3960" w:type="dxa"/>
            <w:tcMar>
              <w:left w:w="28" w:type="dxa"/>
              <w:right w:w="28" w:type="dxa"/>
            </w:tcMar>
            <w:vAlign w:val="center"/>
          </w:tcPr>
          <w:p w14:paraId="2F02D149" w14:textId="77777777" w:rsidR="00EF7953" w:rsidRPr="00AA0179" w:rsidRDefault="00EF7953">
            <w:pPr>
              <w:spacing w:before="60" w:after="60"/>
              <w:jc w:val="center"/>
              <w:rPr>
                <w:noProof/>
                <w:sz w:val="18"/>
                <w:szCs w:val="18"/>
              </w:rPr>
            </w:pPr>
            <w:r w:rsidRPr="00AA0179">
              <w:rPr>
                <w:noProof/>
                <w:sz w:val="18"/>
                <w:szCs w:val="18"/>
              </w:rPr>
              <w:t>Rozpočtový riadok</w:t>
            </w:r>
          </w:p>
        </w:tc>
        <w:tc>
          <w:tcPr>
            <w:tcW w:w="1080" w:type="dxa"/>
            <w:tcMar>
              <w:left w:w="28" w:type="dxa"/>
              <w:right w:w="28" w:type="dxa"/>
            </w:tcMar>
            <w:vAlign w:val="center"/>
          </w:tcPr>
          <w:p w14:paraId="1A23AC0C" w14:textId="77777777" w:rsidR="00EF7953" w:rsidRPr="00AA0179" w:rsidRDefault="00EF7953">
            <w:pPr>
              <w:spacing w:before="60" w:after="60"/>
              <w:jc w:val="center"/>
              <w:rPr>
                <w:noProof/>
                <w:sz w:val="18"/>
                <w:szCs w:val="18"/>
              </w:rPr>
            </w:pPr>
            <w:r w:rsidRPr="00AA0179">
              <w:rPr>
                <w:noProof/>
                <w:sz w:val="18"/>
                <w:szCs w:val="18"/>
              </w:rPr>
              <w:t>Druh</w:t>
            </w:r>
            <w:r w:rsidRPr="00AA0179">
              <w:rPr>
                <w:noProof/>
                <w:sz w:val="18"/>
                <w:szCs w:val="18"/>
              </w:rPr>
              <w:br/>
              <w:t>výdavkov</w:t>
            </w:r>
          </w:p>
        </w:tc>
        <w:tc>
          <w:tcPr>
            <w:tcW w:w="4440" w:type="dxa"/>
            <w:gridSpan w:val="4"/>
            <w:tcMar>
              <w:left w:w="28" w:type="dxa"/>
              <w:right w:w="28" w:type="dxa"/>
            </w:tcMar>
            <w:vAlign w:val="center"/>
          </w:tcPr>
          <w:p w14:paraId="658C099F" w14:textId="77777777" w:rsidR="00EF7953" w:rsidRPr="00AA0179" w:rsidRDefault="00EF7953">
            <w:pPr>
              <w:spacing w:before="60" w:after="60"/>
              <w:jc w:val="center"/>
              <w:rPr>
                <w:noProof/>
                <w:sz w:val="18"/>
                <w:szCs w:val="18"/>
              </w:rPr>
            </w:pPr>
            <w:r w:rsidRPr="00AA0179">
              <w:rPr>
                <w:noProof/>
                <w:sz w:val="18"/>
                <w:szCs w:val="18"/>
              </w:rPr>
              <w:t xml:space="preserve">Príspevky </w:t>
            </w:r>
          </w:p>
        </w:tc>
      </w:tr>
      <w:tr w:rsidR="00EF7953" w:rsidRPr="001E2023" w14:paraId="7FAC53A4" w14:textId="77777777" w:rsidTr="00AA0179">
        <w:tc>
          <w:tcPr>
            <w:tcW w:w="1080" w:type="dxa"/>
            <w:vMerge/>
            <w:tcMar>
              <w:left w:w="28" w:type="dxa"/>
              <w:right w:w="28" w:type="dxa"/>
            </w:tcMar>
            <w:vAlign w:val="center"/>
          </w:tcPr>
          <w:p w14:paraId="3EF061C8" w14:textId="77777777" w:rsidR="00EF7953" w:rsidRPr="001E2023" w:rsidRDefault="00EF7953">
            <w:pPr>
              <w:jc w:val="center"/>
              <w:rPr>
                <w:noProof/>
              </w:rPr>
            </w:pPr>
          </w:p>
        </w:tc>
        <w:tc>
          <w:tcPr>
            <w:tcW w:w="3960" w:type="dxa"/>
            <w:tcMar>
              <w:left w:w="28" w:type="dxa"/>
              <w:right w:w="28" w:type="dxa"/>
            </w:tcMar>
            <w:vAlign w:val="center"/>
          </w:tcPr>
          <w:p w14:paraId="26E3FC17" w14:textId="77777777" w:rsidR="00EF7953" w:rsidRPr="001E2023" w:rsidRDefault="00EF7953">
            <w:pPr>
              <w:rPr>
                <w:noProof/>
              </w:rPr>
            </w:pPr>
            <w:r w:rsidRPr="001E2023">
              <w:rPr>
                <w:noProof/>
                <w:sz w:val="20"/>
              </w:rPr>
              <w:t>Číslo 03 04 0100</w:t>
            </w:r>
            <w:r w:rsidRPr="001E2023">
              <w:rPr>
                <w:noProof/>
                <w:sz w:val="22"/>
              </w:rPr>
              <w:cr/>
            </w:r>
            <w:r w:rsidRPr="001E2023">
              <w:rPr>
                <w:noProof/>
                <w:sz w:val="22"/>
              </w:rPr>
              <w:br/>
            </w:r>
          </w:p>
        </w:tc>
        <w:tc>
          <w:tcPr>
            <w:tcW w:w="1080" w:type="dxa"/>
            <w:tcMar>
              <w:left w:w="28" w:type="dxa"/>
              <w:right w:w="28" w:type="dxa"/>
            </w:tcMar>
            <w:vAlign w:val="center"/>
          </w:tcPr>
          <w:p w14:paraId="134ACE4F" w14:textId="77777777" w:rsidR="00EF7953" w:rsidRPr="001E2023" w:rsidRDefault="00EF7953">
            <w:pPr>
              <w:jc w:val="center"/>
              <w:rPr>
                <w:noProof/>
              </w:rPr>
            </w:pPr>
            <w:r w:rsidRPr="001E2023">
              <w:rPr>
                <w:noProof/>
                <w:sz w:val="18"/>
              </w:rPr>
              <w:t>DRP/NRP</w:t>
            </w:r>
            <w:r w:rsidRPr="001E2023">
              <w:rPr>
                <w:rStyle w:val="Odkaznapoznmkupodiarou"/>
                <w:noProof/>
                <w:sz w:val="18"/>
                <w:szCs w:val="18"/>
              </w:rPr>
              <w:footnoteReference w:id="18"/>
            </w:r>
          </w:p>
        </w:tc>
        <w:tc>
          <w:tcPr>
            <w:tcW w:w="956" w:type="dxa"/>
            <w:tcMar>
              <w:left w:w="28" w:type="dxa"/>
              <w:right w:w="28" w:type="dxa"/>
            </w:tcMar>
            <w:vAlign w:val="center"/>
          </w:tcPr>
          <w:p w14:paraId="37D958E8" w14:textId="77777777" w:rsidR="00EF7953" w:rsidRPr="001E2023" w:rsidRDefault="00EF7953">
            <w:pPr>
              <w:jc w:val="center"/>
              <w:rPr>
                <w:b/>
                <w:noProof/>
                <w:sz w:val="18"/>
              </w:rPr>
            </w:pPr>
            <w:r w:rsidRPr="001E2023">
              <w:rPr>
                <w:noProof/>
                <w:sz w:val="18"/>
              </w:rPr>
              <w:t>krajín EZVO</w:t>
            </w:r>
            <w:r w:rsidRPr="001E2023">
              <w:rPr>
                <w:rStyle w:val="Odkaznapoznmkupodiarou"/>
                <w:noProof/>
                <w:sz w:val="18"/>
                <w:szCs w:val="18"/>
              </w:rPr>
              <w:footnoteReference w:id="19"/>
            </w:r>
          </w:p>
        </w:tc>
        <w:tc>
          <w:tcPr>
            <w:tcW w:w="1284" w:type="dxa"/>
            <w:tcMar>
              <w:left w:w="28" w:type="dxa"/>
              <w:right w:w="28" w:type="dxa"/>
            </w:tcMar>
            <w:vAlign w:val="center"/>
          </w:tcPr>
          <w:p w14:paraId="28349C91" w14:textId="77777777" w:rsidR="00EF7953" w:rsidRPr="001E2023" w:rsidRDefault="00EF7953">
            <w:pPr>
              <w:jc w:val="center"/>
              <w:rPr>
                <w:noProof/>
                <w:sz w:val="18"/>
              </w:rPr>
            </w:pPr>
            <w:r w:rsidRPr="001E2023">
              <w:rPr>
                <w:noProof/>
                <w:sz w:val="18"/>
              </w:rPr>
              <w:t>kandidátskych krajín</w:t>
            </w:r>
            <w:r w:rsidR="001E2023">
              <w:rPr>
                <w:noProof/>
                <w:sz w:val="18"/>
              </w:rPr>
              <w:t xml:space="preserve"> a </w:t>
            </w:r>
            <w:r w:rsidRPr="001E2023">
              <w:rPr>
                <w:noProof/>
                <w:sz w:val="18"/>
              </w:rPr>
              <w:t>potenciálnych kandidátov</w:t>
            </w:r>
            <w:r w:rsidRPr="001E2023">
              <w:rPr>
                <w:rStyle w:val="Odkaznapoznmkupodiarou"/>
                <w:noProof/>
                <w:sz w:val="18"/>
                <w:szCs w:val="18"/>
              </w:rPr>
              <w:footnoteReference w:id="20"/>
            </w:r>
          </w:p>
        </w:tc>
        <w:tc>
          <w:tcPr>
            <w:tcW w:w="752" w:type="dxa"/>
            <w:tcMar>
              <w:left w:w="28" w:type="dxa"/>
              <w:right w:w="28" w:type="dxa"/>
            </w:tcMar>
            <w:vAlign w:val="center"/>
          </w:tcPr>
          <w:p w14:paraId="056729D1" w14:textId="77777777" w:rsidR="00EF7953" w:rsidRPr="001E2023" w:rsidRDefault="00EF7953">
            <w:pPr>
              <w:jc w:val="center"/>
              <w:rPr>
                <w:noProof/>
                <w:sz w:val="18"/>
              </w:rPr>
            </w:pPr>
            <w:r w:rsidRPr="001E2023">
              <w:rPr>
                <w:noProof/>
                <w:sz w:val="18"/>
              </w:rPr>
              <w:t>iných tretích krajín</w:t>
            </w:r>
          </w:p>
        </w:tc>
        <w:tc>
          <w:tcPr>
            <w:tcW w:w="1448" w:type="dxa"/>
            <w:tcMar>
              <w:left w:w="28" w:type="dxa"/>
              <w:right w:w="28" w:type="dxa"/>
            </w:tcMar>
            <w:vAlign w:val="center"/>
          </w:tcPr>
          <w:p w14:paraId="61BBE0CF" w14:textId="77777777" w:rsidR="00EF7953" w:rsidRPr="001E2023" w:rsidRDefault="00EF7953">
            <w:pPr>
              <w:jc w:val="center"/>
              <w:rPr>
                <w:noProof/>
              </w:rPr>
            </w:pPr>
            <w:r w:rsidRPr="001E2023">
              <w:rPr>
                <w:noProof/>
                <w:sz w:val="18"/>
              </w:rPr>
              <w:t>iné pripísané príjmy</w:t>
            </w:r>
          </w:p>
        </w:tc>
      </w:tr>
      <w:tr w:rsidR="00EF7953" w:rsidRPr="001E2023" w14:paraId="51C16038" w14:textId="77777777" w:rsidTr="00AA0179">
        <w:tc>
          <w:tcPr>
            <w:tcW w:w="1080" w:type="dxa"/>
            <w:tcMar>
              <w:left w:w="28" w:type="dxa"/>
              <w:right w:w="28" w:type="dxa"/>
            </w:tcMar>
            <w:vAlign w:val="center"/>
          </w:tcPr>
          <w:p w14:paraId="1111B0BE" w14:textId="77777777" w:rsidR="00EF7953" w:rsidRPr="00AA0179" w:rsidRDefault="00743ABD">
            <w:pPr>
              <w:jc w:val="center"/>
              <w:rPr>
                <w:noProof/>
                <w:color w:val="0000FF"/>
                <w:sz w:val="18"/>
                <w:szCs w:val="18"/>
              </w:rPr>
            </w:pPr>
            <w:r w:rsidRPr="00AA0179">
              <w:rPr>
                <w:noProof/>
                <w:sz w:val="18"/>
                <w:szCs w:val="18"/>
              </w:rPr>
              <w:t>1 – Jednotný trh, inovácie</w:t>
            </w:r>
            <w:r w:rsidR="001E2023" w:rsidRPr="00AA0179">
              <w:rPr>
                <w:noProof/>
                <w:sz w:val="18"/>
                <w:szCs w:val="18"/>
              </w:rPr>
              <w:t xml:space="preserve"> a </w:t>
            </w:r>
            <w:r w:rsidRPr="00AA0179">
              <w:rPr>
                <w:noProof/>
                <w:sz w:val="18"/>
                <w:szCs w:val="18"/>
              </w:rPr>
              <w:t>digitálna ekonomika</w:t>
            </w:r>
          </w:p>
        </w:tc>
        <w:tc>
          <w:tcPr>
            <w:tcW w:w="3960" w:type="dxa"/>
            <w:tcMar>
              <w:left w:w="28" w:type="dxa"/>
              <w:right w:w="28" w:type="dxa"/>
            </w:tcMar>
            <w:vAlign w:val="center"/>
          </w:tcPr>
          <w:p w14:paraId="6EB62DBB" w14:textId="77777777" w:rsidR="00EF7953" w:rsidRPr="00AA0179" w:rsidRDefault="00743ABD">
            <w:pPr>
              <w:spacing w:before="60"/>
              <w:rPr>
                <w:noProof/>
                <w:sz w:val="18"/>
                <w:szCs w:val="18"/>
              </w:rPr>
            </w:pPr>
            <w:r w:rsidRPr="00AA0179">
              <w:rPr>
                <w:noProof/>
                <w:sz w:val="18"/>
                <w:szCs w:val="18"/>
              </w:rPr>
              <w:t>Zlepšenie riadneho fungovania daňových systémov</w:t>
            </w:r>
          </w:p>
          <w:p w14:paraId="5E054E6D" w14:textId="77777777" w:rsidR="00EF7953" w:rsidRPr="00AA0179" w:rsidRDefault="00EF7953">
            <w:pPr>
              <w:spacing w:after="60"/>
              <w:rPr>
                <w:noProof/>
                <w:sz w:val="18"/>
                <w:szCs w:val="18"/>
              </w:rPr>
            </w:pPr>
          </w:p>
        </w:tc>
        <w:tc>
          <w:tcPr>
            <w:tcW w:w="1080" w:type="dxa"/>
            <w:tcMar>
              <w:left w:w="28" w:type="dxa"/>
              <w:right w:w="28" w:type="dxa"/>
            </w:tcMar>
            <w:vAlign w:val="center"/>
          </w:tcPr>
          <w:p w14:paraId="0C9E903B" w14:textId="77777777" w:rsidR="00EF7953" w:rsidRPr="001E2023" w:rsidRDefault="00EF7953">
            <w:pPr>
              <w:jc w:val="center"/>
              <w:rPr>
                <w:noProof/>
                <w:color w:val="0000FF"/>
              </w:rPr>
            </w:pPr>
            <w:r w:rsidRPr="001E2023">
              <w:rPr>
                <w:noProof/>
                <w:sz w:val="22"/>
              </w:rPr>
              <w:t>DRP</w:t>
            </w:r>
          </w:p>
        </w:tc>
        <w:tc>
          <w:tcPr>
            <w:tcW w:w="956" w:type="dxa"/>
            <w:tcMar>
              <w:left w:w="28" w:type="dxa"/>
              <w:right w:w="28" w:type="dxa"/>
            </w:tcMar>
            <w:vAlign w:val="center"/>
          </w:tcPr>
          <w:p w14:paraId="3A0FD8BD" w14:textId="77777777" w:rsidR="00EF7953" w:rsidRPr="001E2023" w:rsidRDefault="00EF7953">
            <w:pPr>
              <w:jc w:val="center"/>
              <w:rPr>
                <w:noProof/>
                <w:sz w:val="20"/>
                <w:szCs w:val="20"/>
              </w:rPr>
            </w:pPr>
            <w:r w:rsidRPr="001E2023">
              <w:rPr>
                <w:noProof/>
                <w:sz w:val="20"/>
              </w:rPr>
              <w:t>NIE</w:t>
            </w:r>
          </w:p>
        </w:tc>
        <w:tc>
          <w:tcPr>
            <w:tcW w:w="1284" w:type="dxa"/>
            <w:tcMar>
              <w:left w:w="28" w:type="dxa"/>
              <w:right w:w="28" w:type="dxa"/>
            </w:tcMar>
            <w:vAlign w:val="center"/>
          </w:tcPr>
          <w:p w14:paraId="0CFA9212" w14:textId="77777777" w:rsidR="00EF7953" w:rsidRPr="001E2023" w:rsidRDefault="002A1547">
            <w:pPr>
              <w:jc w:val="center"/>
              <w:rPr>
                <w:noProof/>
                <w:sz w:val="20"/>
                <w:szCs w:val="20"/>
              </w:rPr>
            </w:pPr>
            <w:r w:rsidRPr="001E2023">
              <w:rPr>
                <w:noProof/>
                <w:sz w:val="20"/>
              </w:rPr>
              <w:t>NIE</w:t>
            </w:r>
          </w:p>
        </w:tc>
        <w:tc>
          <w:tcPr>
            <w:tcW w:w="752" w:type="dxa"/>
            <w:tcMar>
              <w:left w:w="28" w:type="dxa"/>
              <w:right w:w="28" w:type="dxa"/>
            </w:tcMar>
            <w:vAlign w:val="center"/>
          </w:tcPr>
          <w:p w14:paraId="03C273FD" w14:textId="77777777" w:rsidR="00EF7953" w:rsidRPr="001E2023" w:rsidRDefault="002A1547">
            <w:pPr>
              <w:jc w:val="center"/>
              <w:rPr>
                <w:noProof/>
                <w:sz w:val="20"/>
                <w:szCs w:val="20"/>
              </w:rPr>
            </w:pPr>
            <w:r w:rsidRPr="001E2023">
              <w:rPr>
                <w:noProof/>
                <w:sz w:val="20"/>
              </w:rPr>
              <w:t>NIE</w:t>
            </w:r>
          </w:p>
        </w:tc>
        <w:tc>
          <w:tcPr>
            <w:tcW w:w="1448" w:type="dxa"/>
            <w:tcMar>
              <w:left w:w="28" w:type="dxa"/>
              <w:right w:w="28" w:type="dxa"/>
            </w:tcMar>
            <w:vAlign w:val="center"/>
          </w:tcPr>
          <w:p w14:paraId="55E87445" w14:textId="77777777" w:rsidR="00EF7953" w:rsidRPr="001E2023" w:rsidRDefault="002A1547">
            <w:pPr>
              <w:jc w:val="center"/>
              <w:rPr>
                <w:noProof/>
                <w:sz w:val="20"/>
                <w:szCs w:val="20"/>
              </w:rPr>
            </w:pPr>
            <w:r w:rsidRPr="001E2023">
              <w:rPr>
                <w:noProof/>
                <w:sz w:val="20"/>
              </w:rPr>
              <w:t>NIE</w:t>
            </w:r>
          </w:p>
        </w:tc>
      </w:tr>
    </w:tbl>
    <w:p w14:paraId="0295266E" w14:textId="77777777" w:rsidR="001E2023" w:rsidRPr="001E2023" w:rsidRDefault="00EF7953">
      <w:pPr>
        <w:pStyle w:val="ListBullet1"/>
        <w:rPr>
          <w:noProof/>
        </w:rPr>
      </w:pPr>
      <w:r w:rsidRPr="001E2023">
        <w:rPr>
          <w:noProof/>
        </w:rPr>
        <w:t>Požadované nové rozpočtové riadky</w:t>
      </w:r>
    </w:p>
    <w:p w14:paraId="2EEFF486" w14:textId="77777777" w:rsidR="00EF7953" w:rsidRPr="001E2023" w:rsidRDefault="00EF7953">
      <w:pPr>
        <w:pStyle w:val="Text1"/>
        <w:rPr>
          <w:i/>
          <w:noProof/>
          <w:sz w:val="20"/>
        </w:rPr>
      </w:pPr>
      <w:r w:rsidRPr="001E2023">
        <w:rPr>
          <w:i/>
          <w:noProof/>
        </w:rPr>
        <w:t>V poradí,</w:t>
      </w:r>
      <w:r w:rsidR="001E2023">
        <w:rPr>
          <w:i/>
          <w:noProof/>
        </w:rPr>
        <w:t xml:space="preserve"> v </w:t>
      </w:r>
      <w:r w:rsidRPr="001E2023">
        <w:rPr>
          <w:i/>
          <w:noProof/>
        </w:rPr>
        <w:t>akom za sebou nasledujú okruhy viacročného finančného rámca</w:t>
      </w:r>
      <w:r w:rsidR="001E2023">
        <w:rPr>
          <w:i/>
          <w:noProof/>
        </w:rPr>
        <w:t xml:space="preserve"> a </w:t>
      </w:r>
      <w:r w:rsidRPr="001E2023">
        <w:rPr>
          <w:i/>
          <w:noProof/>
        </w:rPr>
        <w:t>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284"/>
        <w:gridCol w:w="752"/>
        <w:gridCol w:w="1448"/>
      </w:tblGrid>
      <w:tr w:rsidR="00EF7953" w:rsidRPr="001E2023" w14:paraId="0EC2EA14" w14:textId="77777777" w:rsidTr="00AA0179">
        <w:tc>
          <w:tcPr>
            <w:tcW w:w="1080" w:type="dxa"/>
            <w:vMerge w:val="restart"/>
            <w:tcMar>
              <w:left w:w="28" w:type="dxa"/>
              <w:right w:w="28" w:type="dxa"/>
            </w:tcMar>
            <w:vAlign w:val="center"/>
          </w:tcPr>
          <w:p w14:paraId="468472C0" w14:textId="77777777" w:rsidR="00EF7953" w:rsidRPr="001E2023" w:rsidRDefault="00EF7953">
            <w:pPr>
              <w:spacing w:before="60" w:after="60"/>
              <w:jc w:val="center"/>
              <w:rPr>
                <w:noProof/>
                <w:sz w:val="18"/>
                <w:szCs w:val="18"/>
              </w:rPr>
            </w:pPr>
            <w:r w:rsidRPr="001E2023">
              <w:rPr>
                <w:noProof/>
                <w:sz w:val="18"/>
              </w:rPr>
              <w:t>Okruh viacročného finančného rámca</w:t>
            </w:r>
          </w:p>
        </w:tc>
        <w:tc>
          <w:tcPr>
            <w:tcW w:w="3960" w:type="dxa"/>
            <w:tcMar>
              <w:left w:w="28" w:type="dxa"/>
              <w:right w:w="28" w:type="dxa"/>
            </w:tcMar>
            <w:vAlign w:val="center"/>
          </w:tcPr>
          <w:p w14:paraId="623317D3" w14:textId="77777777" w:rsidR="00EF7953" w:rsidRPr="001E2023" w:rsidRDefault="00EF7953">
            <w:pPr>
              <w:spacing w:before="60" w:after="60"/>
              <w:jc w:val="center"/>
              <w:rPr>
                <w:noProof/>
              </w:rPr>
            </w:pPr>
            <w:r w:rsidRPr="001E2023">
              <w:rPr>
                <w:noProof/>
                <w:sz w:val="20"/>
              </w:rPr>
              <w:t>Rozpočtový riadok</w:t>
            </w:r>
          </w:p>
        </w:tc>
        <w:tc>
          <w:tcPr>
            <w:tcW w:w="1080" w:type="dxa"/>
            <w:tcMar>
              <w:left w:w="28" w:type="dxa"/>
              <w:right w:w="28" w:type="dxa"/>
            </w:tcMar>
            <w:vAlign w:val="center"/>
          </w:tcPr>
          <w:p w14:paraId="5D25DEF4" w14:textId="77777777" w:rsidR="00EF7953" w:rsidRPr="001E2023" w:rsidRDefault="00EF7953">
            <w:pPr>
              <w:spacing w:before="60" w:after="60"/>
              <w:jc w:val="center"/>
              <w:rPr>
                <w:noProof/>
              </w:rPr>
            </w:pPr>
            <w:r w:rsidRPr="001E2023">
              <w:rPr>
                <w:noProof/>
                <w:sz w:val="18"/>
              </w:rPr>
              <w:t>Druh</w:t>
            </w:r>
            <w:r w:rsidRPr="001E2023">
              <w:rPr>
                <w:noProof/>
              </w:rPr>
              <w:br/>
            </w:r>
            <w:r w:rsidRPr="001E2023">
              <w:rPr>
                <w:noProof/>
                <w:sz w:val="22"/>
              </w:rPr>
              <w:t>výdavkov</w:t>
            </w:r>
          </w:p>
        </w:tc>
        <w:tc>
          <w:tcPr>
            <w:tcW w:w="4440" w:type="dxa"/>
            <w:gridSpan w:val="4"/>
            <w:tcMar>
              <w:left w:w="28" w:type="dxa"/>
              <w:right w:w="28" w:type="dxa"/>
            </w:tcMar>
            <w:vAlign w:val="center"/>
          </w:tcPr>
          <w:p w14:paraId="10E726A9" w14:textId="77777777" w:rsidR="00EF7953" w:rsidRPr="001E2023" w:rsidRDefault="00EF7953">
            <w:pPr>
              <w:spacing w:before="60" w:after="60"/>
              <w:jc w:val="center"/>
              <w:rPr>
                <w:noProof/>
              </w:rPr>
            </w:pPr>
            <w:r w:rsidRPr="001E2023">
              <w:rPr>
                <w:noProof/>
                <w:sz w:val="20"/>
              </w:rPr>
              <w:t xml:space="preserve">Príspevky </w:t>
            </w:r>
          </w:p>
        </w:tc>
      </w:tr>
      <w:tr w:rsidR="00EF7953" w:rsidRPr="001E2023" w14:paraId="0B67D576" w14:textId="77777777" w:rsidTr="00AA0179">
        <w:tc>
          <w:tcPr>
            <w:tcW w:w="1080" w:type="dxa"/>
            <w:vMerge/>
            <w:tcMar>
              <w:left w:w="28" w:type="dxa"/>
              <w:right w:w="28" w:type="dxa"/>
            </w:tcMar>
            <w:vAlign w:val="center"/>
          </w:tcPr>
          <w:p w14:paraId="669ABC15" w14:textId="77777777" w:rsidR="00EF7953" w:rsidRPr="001E2023" w:rsidRDefault="00EF7953">
            <w:pPr>
              <w:jc w:val="center"/>
              <w:rPr>
                <w:noProof/>
              </w:rPr>
            </w:pPr>
          </w:p>
        </w:tc>
        <w:tc>
          <w:tcPr>
            <w:tcW w:w="3960" w:type="dxa"/>
            <w:tcMar>
              <w:left w:w="28" w:type="dxa"/>
              <w:right w:w="28" w:type="dxa"/>
            </w:tcMar>
            <w:vAlign w:val="center"/>
          </w:tcPr>
          <w:p w14:paraId="592E6205" w14:textId="77777777" w:rsidR="00EF7953" w:rsidRPr="001E2023" w:rsidRDefault="00EF7953">
            <w:pPr>
              <w:rPr>
                <w:noProof/>
              </w:rPr>
            </w:pPr>
            <w:r w:rsidRPr="001E2023">
              <w:rPr>
                <w:noProof/>
                <w:sz w:val="20"/>
              </w:rPr>
              <w:t xml:space="preserve">Číslo </w:t>
            </w:r>
            <w:r w:rsidRPr="001E2023">
              <w:rPr>
                <w:noProof/>
                <w:sz w:val="22"/>
              </w:rPr>
              <w:br/>
            </w:r>
          </w:p>
        </w:tc>
        <w:tc>
          <w:tcPr>
            <w:tcW w:w="1080" w:type="dxa"/>
            <w:tcMar>
              <w:left w:w="28" w:type="dxa"/>
              <w:right w:w="28" w:type="dxa"/>
            </w:tcMar>
            <w:vAlign w:val="center"/>
          </w:tcPr>
          <w:p w14:paraId="63734556" w14:textId="77777777" w:rsidR="00EF7953" w:rsidRPr="001E2023" w:rsidRDefault="00EF7953">
            <w:pPr>
              <w:jc w:val="center"/>
              <w:rPr>
                <w:noProof/>
              </w:rPr>
            </w:pPr>
            <w:r w:rsidRPr="001E2023">
              <w:rPr>
                <w:noProof/>
                <w:sz w:val="18"/>
              </w:rPr>
              <w:t>DRP/NRP</w:t>
            </w:r>
          </w:p>
        </w:tc>
        <w:tc>
          <w:tcPr>
            <w:tcW w:w="956" w:type="dxa"/>
            <w:tcMar>
              <w:left w:w="28" w:type="dxa"/>
              <w:right w:w="28" w:type="dxa"/>
            </w:tcMar>
            <w:vAlign w:val="center"/>
          </w:tcPr>
          <w:p w14:paraId="5837E72E" w14:textId="77777777" w:rsidR="00EF7953" w:rsidRPr="001E2023" w:rsidRDefault="00EF7953">
            <w:pPr>
              <w:jc w:val="center"/>
              <w:rPr>
                <w:noProof/>
                <w:sz w:val="18"/>
              </w:rPr>
            </w:pPr>
            <w:r w:rsidRPr="001E2023">
              <w:rPr>
                <w:noProof/>
                <w:sz w:val="18"/>
              </w:rPr>
              <w:t>krajín EZVO</w:t>
            </w:r>
          </w:p>
        </w:tc>
        <w:tc>
          <w:tcPr>
            <w:tcW w:w="1284" w:type="dxa"/>
            <w:tcMar>
              <w:left w:w="28" w:type="dxa"/>
              <w:right w:w="28" w:type="dxa"/>
            </w:tcMar>
            <w:vAlign w:val="center"/>
          </w:tcPr>
          <w:p w14:paraId="73ACC1F9" w14:textId="77777777" w:rsidR="00EF7953" w:rsidRPr="001E2023" w:rsidRDefault="00EF7953">
            <w:pPr>
              <w:jc w:val="center"/>
              <w:rPr>
                <w:noProof/>
                <w:sz w:val="18"/>
              </w:rPr>
            </w:pPr>
            <w:r w:rsidRPr="001E2023">
              <w:rPr>
                <w:noProof/>
                <w:sz w:val="18"/>
              </w:rPr>
              <w:t>kandidátskych krajín</w:t>
            </w:r>
            <w:r w:rsidR="001E2023">
              <w:rPr>
                <w:noProof/>
                <w:sz w:val="18"/>
              </w:rPr>
              <w:t xml:space="preserve"> a </w:t>
            </w:r>
            <w:r w:rsidRPr="001E2023">
              <w:rPr>
                <w:noProof/>
                <w:sz w:val="18"/>
              </w:rPr>
              <w:t>potenciálnych kandidátov</w:t>
            </w:r>
          </w:p>
        </w:tc>
        <w:tc>
          <w:tcPr>
            <w:tcW w:w="752" w:type="dxa"/>
            <w:tcMar>
              <w:left w:w="28" w:type="dxa"/>
              <w:right w:w="28" w:type="dxa"/>
            </w:tcMar>
            <w:vAlign w:val="center"/>
          </w:tcPr>
          <w:p w14:paraId="459A6DBC" w14:textId="77777777" w:rsidR="00EF7953" w:rsidRPr="001E2023" w:rsidRDefault="00EF7953">
            <w:pPr>
              <w:jc w:val="center"/>
              <w:rPr>
                <w:noProof/>
                <w:sz w:val="18"/>
              </w:rPr>
            </w:pPr>
            <w:r w:rsidRPr="001E2023">
              <w:rPr>
                <w:noProof/>
                <w:sz w:val="18"/>
              </w:rPr>
              <w:t>iných tretích krajín</w:t>
            </w:r>
          </w:p>
        </w:tc>
        <w:tc>
          <w:tcPr>
            <w:tcW w:w="1448" w:type="dxa"/>
            <w:tcMar>
              <w:left w:w="28" w:type="dxa"/>
              <w:right w:w="28" w:type="dxa"/>
            </w:tcMar>
            <w:vAlign w:val="center"/>
          </w:tcPr>
          <w:p w14:paraId="50709DF0" w14:textId="77777777" w:rsidR="00EF7953" w:rsidRPr="001E2023" w:rsidRDefault="00EF7953">
            <w:pPr>
              <w:jc w:val="center"/>
              <w:rPr>
                <w:noProof/>
              </w:rPr>
            </w:pPr>
            <w:r w:rsidRPr="001E2023">
              <w:rPr>
                <w:noProof/>
                <w:sz w:val="18"/>
              </w:rPr>
              <w:t xml:space="preserve">iné pripísané príjmy </w:t>
            </w:r>
          </w:p>
        </w:tc>
      </w:tr>
      <w:tr w:rsidR="00EF7953" w:rsidRPr="001E2023" w14:paraId="1F7C535F" w14:textId="77777777" w:rsidTr="00AA0179">
        <w:tc>
          <w:tcPr>
            <w:tcW w:w="1080" w:type="dxa"/>
            <w:tcMar>
              <w:left w:w="28" w:type="dxa"/>
              <w:right w:w="28" w:type="dxa"/>
            </w:tcMar>
            <w:vAlign w:val="center"/>
          </w:tcPr>
          <w:p w14:paraId="2974B81B" w14:textId="77777777" w:rsidR="00EF7953" w:rsidRPr="001E2023" w:rsidRDefault="00EF7953">
            <w:pPr>
              <w:jc w:val="center"/>
              <w:rPr>
                <w:noProof/>
                <w:color w:val="0000FF"/>
              </w:rPr>
            </w:pPr>
          </w:p>
        </w:tc>
        <w:tc>
          <w:tcPr>
            <w:tcW w:w="3960" w:type="dxa"/>
            <w:tcMar>
              <w:left w:w="28" w:type="dxa"/>
              <w:right w:w="28" w:type="dxa"/>
            </w:tcMar>
            <w:vAlign w:val="center"/>
          </w:tcPr>
          <w:p w14:paraId="7DC7AC09" w14:textId="77777777" w:rsidR="00EF7953" w:rsidRPr="001E2023" w:rsidRDefault="00EF7953">
            <w:pPr>
              <w:spacing w:before="60"/>
              <w:rPr>
                <w:noProof/>
              </w:rPr>
            </w:pPr>
            <w:r w:rsidRPr="001E2023">
              <w:rPr>
                <w:noProof/>
                <w:sz w:val="22"/>
              </w:rPr>
              <w:t>[XX.YY.YY.YY]</w:t>
            </w:r>
          </w:p>
          <w:p w14:paraId="701FD95E" w14:textId="77777777" w:rsidR="00EF7953" w:rsidRPr="001E2023" w:rsidRDefault="00EF7953">
            <w:pPr>
              <w:spacing w:after="60"/>
              <w:rPr>
                <w:noProof/>
                <w:color w:val="0000FF"/>
              </w:rPr>
            </w:pPr>
          </w:p>
        </w:tc>
        <w:tc>
          <w:tcPr>
            <w:tcW w:w="1080" w:type="dxa"/>
            <w:tcMar>
              <w:left w:w="28" w:type="dxa"/>
              <w:right w:w="28" w:type="dxa"/>
            </w:tcMar>
            <w:vAlign w:val="center"/>
          </w:tcPr>
          <w:p w14:paraId="10E2CDFB" w14:textId="77777777" w:rsidR="00EF7953" w:rsidRPr="001E2023" w:rsidRDefault="00EF7953">
            <w:pPr>
              <w:jc w:val="center"/>
              <w:rPr>
                <w:noProof/>
                <w:color w:val="0000FF"/>
              </w:rPr>
            </w:pPr>
          </w:p>
        </w:tc>
        <w:tc>
          <w:tcPr>
            <w:tcW w:w="956" w:type="dxa"/>
            <w:tcMar>
              <w:left w:w="28" w:type="dxa"/>
              <w:right w:w="28" w:type="dxa"/>
            </w:tcMar>
            <w:vAlign w:val="center"/>
          </w:tcPr>
          <w:p w14:paraId="6804E023" w14:textId="77777777" w:rsidR="00EF7953" w:rsidRPr="001E2023" w:rsidRDefault="00EF7953">
            <w:pPr>
              <w:jc w:val="center"/>
              <w:rPr>
                <w:noProof/>
                <w:sz w:val="20"/>
                <w:szCs w:val="20"/>
              </w:rPr>
            </w:pPr>
            <w:r w:rsidRPr="001E2023">
              <w:rPr>
                <w:noProof/>
                <w:sz w:val="20"/>
              </w:rPr>
              <w:t>ÁNO/NIE</w:t>
            </w:r>
          </w:p>
        </w:tc>
        <w:tc>
          <w:tcPr>
            <w:tcW w:w="1284" w:type="dxa"/>
            <w:tcMar>
              <w:left w:w="28" w:type="dxa"/>
              <w:right w:w="28" w:type="dxa"/>
            </w:tcMar>
            <w:vAlign w:val="center"/>
          </w:tcPr>
          <w:p w14:paraId="1E178345" w14:textId="77777777" w:rsidR="00EF7953" w:rsidRPr="001E2023" w:rsidRDefault="00EF7953">
            <w:pPr>
              <w:jc w:val="center"/>
              <w:rPr>
                <w:noProof/>
                <w:color w:val="0000FF"/>
                <w:sz w:val="20"/>
                <w:szCs w:val="20"/>
              </w:rPr>
            </w:pPr>
            <w:r w:rsidRPr="001E2023">
              <w:rPr>
                <w:noProof/>
                <w:sz w:val="20"/>
              </w:rPr>
              <w:t>ÁNO/NIE</w:t>
            </w:r>
          </w:p>
        </w:tc>
        <w:tc>
          <w:tcPr>
            <w:tcW w:w="752" w:type="dxa"/>
            <w:tcMar>
              <w:left w:w="28" w:type="dxa"/>
              <w:right w:w="28" w:type="dxa"/>
            </w:tcMar>
            <w:vAlign w:val="center"/>
          </w:tcPr>
          <w:p w14:paraId="0713BEC5" w14:textId="77777777" w:rsidR="00EF7953" w:rsidRPr="001E2023" w:rsidRDefault="00EF7953">
            <w:pPr>
              <w:jc w:val="center"/>
              <w:rPr>
                <w:noProof/>
                <w:color w:val="0000FF"/>
                <w:sz w:val="20"/>
                <w:szCs w:val="20"/>
              </w:rPr>
            </w:pPr>
            <w:r w:rsidRPr="001E2023">
              <w:rPr>
                <w:noProof/>
                <w:sz w:val="20"/>
              </w:rPr>
              <w:t>ÁNO/</w:t>
            </w:r>
            <w:r w:rsidR="00AA0179">
              <w:rPr>
                <w:noProof/>
                <w:sz w:val="20"/>
              </w:rPr>
              <w:t xml:space="preserve"> </w:t>
            </w:r>
            <w:r w:rsidRPr="001E2023">
              <w:rPr>
                <w:noProof/>
                <w:sz w:val="20"/>
              </w:rPr>
              <w:t>NIE</w:t>
            </w:r>
          </w:p>
        </w:tc>
        <w:tc>
          <w:tcPr>
            <w:tcW w:w="1448" w:type="dxa"/>
            <w:tcMar>
              <w:left w:w="28" w:type="dxa"/>
              <w:right w:w="28" w:type="dxa"/>
            </w:tcMar>
            <w:vAlign w:val="center"/>
          </w:tcPr>
          <w:p w14:paraId="1B8A30BC" w14:textId="77777777" w:rsidR="00EF7953" w:rsidRPr="001E2023" w:rsidRDefault="00EF7953">
            <w:pPr>
              <w:jc w:val="center"/>
              <w:rPr>
                <w:noProof/>
                <w:sz w:val="20"/>
                <w:szCs w:val="20"/>
              </w:rPr>
            </w:pPr>
            <w:r w:rsidRPr="001E2023">
              <w:rPr>
                <w:noProof/>
                <w:sz w:val="20"/>
              </w:rPr>
              <w:t>ÁNO/NIE</w:t>
            </w:r>
          </w:p>
        </w:tc>
      </w:tr>
    </w:tbl>
    <w:p w14:paraId="7F972A64" w14:textId="77777777" w:rsidR="00EF7953" w:rsidRPr="001E2023" w:rsidRDefault="00EF7953">
      <w:pPr>
        <w:rPr>
          <w:noProof/>
        </w:rPr>
        <w:sectPr w:rsidR="00EF7953" w:rsidRPr="001E2023" w:rsidSect="003F317C">
          <w:pgSz w:w="11907" w:h="16840" w:code="1"/>
          <w:pgMar w:top="1134" w:right="1418" w:bottom="1134" w:left="1418" w:header="709" w:footer="709" w:gutter="0"/>
          <w:cols w:space="708"/>
          <w:docGrid w:linePitch="360"/>
        </w:sectPr>
      </w:pPr>
    </w:p>
    <w:p w14:paraId="65423816" w14:textId="77777777" w:rsidR="001E2023" w:rsidRPr="001E2023" w:rsidRDefault="00EF7953">
      <w:pPr>
        <w:pStyle w:val="ManualHeading2"/>
        <w:rPr>
          <w:noProof/>
        </w:rPr>
      </w:pPr>
      <w:bookmarkStart w:id="56" w:name="_Toc514938052"/>
      <w:bookmarkStart w:id="57" w:name="_Toc520485051"/>
      <w:r w:rsidRPr="001E2023">
        <w:rPr>
          <w:noProof/>
        </w:rPr>
        <w:lastRenderedPageBreak/>
        <w:t>3.2.</w:t>
      </w:r>
      <w:r w:rsidRPr="001E2023">
        <w:rPr>
          <w:noProof/>
        </w:rPr>
        <w:tab/>
        <w:t>Odhadovaný finančný vplyv návrhu na rozpočtové prostriedky</w:t>
      </w:r>
      <w:bookmarkEnd w:id="56"/>
      <w:bookmarkEnd w:id="57"/>
    </w:p>
    <w:p w14:paraId="386E8447" w14:textId="77777777" w:rsidR="001E2023" w:rsidRPr="001E2023" w:rsidRDefault="00EF7953">
      <w:pPr>
        <w:pStyle w:val="ManualHeading3"/>
        <w:rPr>
          <w:noProof/>
        </w:rPr>
      </w:pPr>
      <w:bookmarkStart w:id="58" w:name="_Toc514938053"/>
      <w:bookmarkStart w:id="59" w:name="_Toc520485052"/>
      <w:r w:rsidRPr="001E2023">
        <w:rPr>
          <w:noProof/>
        </w:rPr>
        <w:t>3.2.1.</w:t>
      </w:r>
      <w:r w:rsidRPr="001E2023">
        <w:rPr>
          <w:noProof/>
        </w:rPr>
        <w:tab/>
        <w:t>Zhrnutie odhadovaného vplyvu na operačné rozpočtové prostriedky</w:t>
      </w:r>
      <w:bookmarkEnd w:id="58"/>
      <w:bookmarkEnd w:id="59"/>
    </w:p>
    <w:p w14:paraId="02D55AEF" w14:textId="77777777" w:rsidR="001E2023" w:rsidRPr="001E2023" w:rsidRDefault="00EF7953">
      <w:pPr>
        <w:pStyle w:val="ListDash1"/>
        <w:rPr>
          <w:noProof/>
        </w:rPr>
      </w:pPr>
      <w:r w:rsidRPr="001E2023">
        <w:rPr>
          <w:rFonts w:ascii="Wingdings" w:hAnsi="Wingdings"/>
          <w:noProof/>
        </w:rPr>
        <w:t></w:t>
      </w:r>
      <w:r w:rsidRPr="001E2023">
        <w:rPr>
          <w:noProof/>
        </w:rPr>
        <w:tab/>
        <w:t>Návrh/iniciatíva si nevyžaduje použitie operačných rozpočtových prostriedkov</w:t>
      </w:r>
    </w:p>
    <w:p w14:paraId="4E0E2CB5" w14:textId="77777777" w:rsidR="00EF7953" w:rsidRPr="001E2023" w:rsidRDefault="00541013">
      <w:pPr>
        <w:pStyle w:val="ListDash1"/>
        <w:rPr>
          <w:noProof/>
        </w:rPr>
      </w:pPr>
      <w:sdt>
        <w:sdtPr>
          <w:rPr>
            <w:noProof/>
          </w:rPr>
          <w:id w:val="242773977"/>
          <w14:checkbox>
            <w14:checked w14:val="1"/>
            <w14:checkedState w14:val="2612" w14:font="MS Gothic"/>
            <w14:uncheckedState w14:val="2610" w14:font="MS Gothic"/>
          </w14:checkbox>
        </w:sdtPr>
        <w:sdtEndPr/>
        <w:sdtContent>
          <w:r w:rsidR="00BF2D15" w:rsidRPr="001E2023">
            <w:rPr>
              <w:rFonts w:ascii="MS Gothic" w:eastAsia="MS Gothic" w:hAnsi="MS Gothic"/>
              <w:noProof/>
            </w:rPr>
            <w:t>☒</w:t>
          </w:r>
        </w:sdtContent>
      </w:sdt>
      <w:r w:rsidR="00B21B48" w:rsidRPr="001E2023">
        <w:rPr>
          <w:noProof/>
        </w:rPr>
        <w:tab/>
        <w:t>Návrh/iniciatíva si vyžaduje použitie týchto operačných rozpočtových prostriedkov:</w:t>
      </w:r>
    </w:p>
    <w:p w14:paraId="10D60A34" w14:textId="77777777" w:rsidR="00EF7953" w:rsidRPr="001E2023" w:rsidRDefault="00EF7953">
      <w:pPr>
        <w:jc w:val="right"/>
        <w:rPr>
          <w:noProof/>
          <w:sz w:val="18"/>
          <w:szCs w:val="18"/>
        </w:rPr>
      </w:pPr>
      <w:r w:rsidRPr="001E2023">
        <w:rPr>
          <w:noProof/>
          <w:sz w:val="18"/>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7953" w:rsidRPr="001E2023" w14:paraId="47206063" w14:textId="77777777">
        <w:trPr>
          <w:jc w:val="center"/>
        </w:trPr>
        <w:tc>
          <w:tcPr>
            <w:tcW w:w="4744" w:type="dxa"/>
            <w:shd w:val="thinDiagStripe" w:color="C0C0C0" w:fill="auto"/>
            <w:vAlign w:val="center"/>
          </w:tcPr>
          <w:p w14:paraId="7E522D53" w14:textId="77777777" w:rsidR="00EF7953" w:rsidRPr="001E2023" w:rsidRDefault="00EF7953">
            <w:pPr>
              <w:spacing w:before="60" w:after="60"/>
              <w:jc w:val="center"/>
              <w:rPr>
                <w:b/>
                <w:noProof/>
              </w:rPr>
            </w:pPr>
            <w:r w:rsidRPr="001E2023">
              <w:rPr>
                <w:b/>
                <w:noProof/>
                <w:sz w:val="22"/>
              </w:rPr>
              <w:t xml:space="preserve">Okruh viacročného finančného </w:t>
            </w:r>
            <w:r w:rsidRPr="001E2023">
              <w:rPr>
                <w:noProof/>
                <w:sz w:val="22"/>
              </w:rPr>
              <w:br/>
            </w:r>
            <w:r w:rsidRPr="001E2023">
              <w:rPr>
                <w:b/>
                <w:noProof/>
                <w:sz w:val="22"/>
              </w:rPr>
              <w:t xml:space="preserve">rámca </w:t>
            </w:r>
          </w:p>
        </w:tc>
        <w:tc>
          <w:tcPr>
            <w:tcW w:w="1080" w:type="dxa"/>
            <w:vAlign w:val="center"/>
          </w:tcPr>
          <w:p w14:paraId="31A1D173" w14:textId="77777777" w:rsidR="00EF7953" w:rsidRPr="001E2023" w:rsidRDefault="00EF7953">
            <w:pPr>
              <w:spacing w:before="60" w:after="60"/>
              <w:jc w:val="center"/>
              <w:rPr>
                <w:noProof/>
              </w:rPr>
            </w:pPr>
            <w:r w:rsidRPr="001E2023">
              <w:rPr>
                <w:noProof/>
                <w:sz w:val="22"/>
              </w:rPr>
              <w:t>Číslo</w:t>
            </w:r>
          </w:p>
        </w:tc>
        <w:tc>
          <w:tcPr>
            <w:tcW w:w="7817" w:type="dxa"/>
            <w:vAlign w:val="center"/>
          </w:tcPr>
          <w:p w14:paraId="27ECEBD7" w14:textId="77777777" w:rsidR="00EF7953" w:rsidRPr="001E2023" w:rsidRDefault="00BC5AE2">
            <w:pPr>
              <w:spacing w:before="60" w:after="60"/>
              <w:rPr>
                <w:noProof/>
              </w:rPr>
            </w:pPr>
            <w:r w:rsidRPr="001E2023">
              <w:rPr>
                <w:noProof/>
              </w:rPr>
              <w:t>Jednotný trh, inovácie</w:t>
            </w:r>
            <w:r w:rsidR="001E2023">
              <w:rPr>
                <w:noProof/>
              </w:rPr>
              <w:t xml:space="preserve"> a </w:t>
            </w:r>
            <w:r w:rsidRPr="001E2023">
              <w:rPr>
                <w:noProof/>
              </w:rPr>
              <w:t>digitálna ekonomika</w:t>
            </w:r>
          </w:p>
        </w:tc>
      </w:tr>
    </w:tbl>
    <w:p w14:paraId="401E822B" w14:textId="77777777" w:rsidR="00EF7953" w:rsidRPr="001E2023" w:rsidRDefault="00EF7953" w:rsidP="00DE5E39">
      <w:pPr>
        <w:spacing w:before="0" w:after="0"/>
        <w:rPr>
          <w:noProof/>
          <w:sz w:val="16"/>
        </w:rPr>
      </w:pPr>
    </w:p>
    <w:tbl>
      <w:tblPr>
        <w:tblW w:w="118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936"/>
        <w:gridCol w:w="921"/>
        <w:gridCol w:w="921"/>
        <w:gridCol w:w="922"/>
        <w:gridCol w:w="921"/>
        <w:gridCol w:w="1701"/>
      </w:tblGrid>
      <w:tr w:rsidR="000432E7" w:rsidRPr="001E2023" w14:paraId="05983DE5" w14:textId="77777777" w:rsidTr="000432E7">
        <w:tc>
          <w:tcPr>
            <w:tcW w:w="3960" w:type="dxa"/>
            <w:vAlign w:val="center"/>
          </w:tcPr>
          <w:p w14:paraId="6D747B0B" w14:textId="77777777" w:rsidR="000432E7" w:rsidRPr="001E2023" w:rsidRDefault="000432E7">
            <w:pPr>
              <w:jc w:val="center"/>
              <w:rPr>
                <w:noProof/>
              </w:rPr>
            </w:pPr>
            <w:r w:rsidRPr="001E2023">
              <w:rPr>
                <w:noProof/>
                <w:sz w:val="22"/>
              </w:rPr>
              <w:t>GR: TAXUD</w:t>
            </w:r>
          </w:p>
        </w:tc>
        <w:tc>
          <w:tcPr>
            <w:tcW w:w="1560" w:type="dxa"/>
            <w:gridSpan w:val="2"/>
          </w:tcPr>
          <w:p w14:paraId="28A14384" w14:textId="77777777" w:rsidR="000432E7" w:rsidRPr="001E2023" w:rsidRDefault="000432E7">
            <w:pPr>
              <w:rPr>
                <w:noProof/>
                <w:sz w:val="20"/>
              </w:rPr>
            </w:pPr>
          </w:p>
        </w:tc>
        <w:tc>
          <w:tcPr>
            <w:tcW w:w="936" w:type="dxa"/>
          </w:tcPr>
          <w:p w14:paraId="4DA7F5CB" w14:textId="77777777" w:rsidR="000432E7" w:rsidRPr="001E2023" w:rsidRDefault="000432E7">
            <w:pPr>
              <w:jc w:val="center"/>
              <w:rPr>
                <w:noProof/>
                <w:sz w:val="20"/>
              </w:rPr>
            </w:pPr>
          </w:p>
        </w:tc>
        <w:tc>
          <w:tcPr>
            <w:tcW w:w="921" w:type="dxa"/>
            <w:vAlign w:val="center"/>
          </w:tcPr>
          <w:p w14:paraId="3F8D5A97" w14:textId="77777777" w:rsidR="000432E7" w:rsidRPr="001E2023" w:rsidRDefault="000432E7">
            <w:pPr>
              <w:jc w:val="center"/>
              <w:rPr>
                <w:noProof/>
                <w:sz w:val="20"/>
              </w:rPr>
            </w:pPr>
            <w:r w:rsidRPr="001E2023">
              <w:rPr>
                <w:noProof/>
                <w:sz w:val="20"/>
              </w:rPr>
              <w:t>Rok</w:t>
            </w:r>
            <w:r w:rsidRPr="001E2023">
              <w:rPr>
                <w:noProof/>
                <w:sz w:val="22"/>
              </w:rPr>
              <w:br/>
            </w:r>
            <w:r w:rsidRPr="001E2023">
              <w:rPr>
                <w:noProof/>
                <w:sz w:val="20"/>
              </w:rPr>
              <w:t>2024</w:t>
            </w:r>
            <w:r w:rsidRPr="001E2023">
              <w:rPr>
                <w:rStyle w:val="Odkaznapoznmkupodiarou"/>
                <w:b/>
                <w:bCs/>
                <w:noProof/>
                <w:sz w:val="20"/>
                <w:szCs w:val="20"/>
              </w:rPr>
              <w:footnoteReference w:id="21"/>
            </w:r>
          </w:p>
        </w:tc>
        <w:tc>
          <w:tcPr>
            <w:tcW w:w="921" w:type="dxa"/>
            <w:vAlign w:val="center"/>
          </w:tcPr>
          <w:p w14:paraId="2CD937A3" w14:textId="77777777" w:rsidR="000432E7" w:rsidRPr="001E2023" w:rsidRDefault="000432E7">
            <w:pPr>
              <w:jc w:val="center"/>
              <w:rPr>
                <w:noProof/>
                <w:sz w:val="20"/>
              </w:rPr>
            </w:pPr>
            <w:r w:rsidRPr="001E2023">
              <w:rPr>
                <w:noProof/>
                <w:sz w:val="20"/>
              </w:rPr>
              <w:t>Rok</w:t>
            </w:r>
            <w:r w:rsidRPr="001E2023">
              <w:rPr>
                <w:noProof/>
                <w:sz w:val="22"/>
              </w:rPr>
              <w:br/>
            </w:r>
            <w:r w:rsidRPr="001E2023">
              <w:rPr>
                <w:b/>
                <w:noProof/>
                <w:sz w:val="20"/>
              </w:rPr>
              <w:t>2025</w:t>
            </w:r>
          </w:p>
        </w:tc>
        <w:tc>
          <w:tcPr>
            <w:tcW w:w="922" w:type="dxa"/>
            <w:vAlign w:val="center"/>
          </w:tcPr>
          <w:p w14:paraId="24382775" w14:textId="77777777" w:rsidR="000432E7" w:rsidRPr="001E2023" w:rsidRDefault="000432E7">
            <w:pPr>
              <w:jc w:val="center"/>
              <w:rPr>
                <w:noProof/>
                <w:sz w:val="20"/>
              </w:rPr>
            </w:pPr>
            <w:r w:rsidRPr="001E2023">
              <w:rPr>
                <w:noProof/>
                <w:sz w:val="20"/>
              </w:rPr>
              <w:t>Rok</w:t>
            </w:r>
            <w:r w:rsidRPr="001E2023">
              <w:rPr>
                <w:noProof/>
                <w:sz w:val="22"/>
              </w:rPr>
              <w:br/>
            </w:r>
            <w:r w:rsidRPr="001E2023">
              <w:rPr>
                <w:b/>
                <w:noProof/>
                <w:sz w:val="20"/>
              </w:rPr>
              <w:t>2026</w:t>
            </w:r>
          </w:p>
        </w:tc>
        <w:tc>
          <w:tcPr>
            <w:tcW w:w="921" w:type="dxa"/>
            <w:vAlign w:val="center"/>
          </w:tcPr>
          <w:p w14:paraId="194E72AC" w14:textId="77777777" w:rsidR="000432E7" w:rsidRPr="001E2023" w:rsidRDefault="000432E7">
            <w:pPr>
              <w:jc w:val="center"/>
              <w:rPr>
                <w:noProof/>
                <w:sz w:val="20"/>
              </w:rPr>
            </w:pPr>
            <w:r w:rsidRPr="001E2023">
              <w:rPr>
                <w:noProof/>
                <w:sz w:val="20"/>
              </w:rPr>
              <w:t>Rok</w:t>
            </w:r>
            <w:r w:rsidRPr="001E2023">
              <w:rPr>
                <w:noProof/>
                <w:sz w:val="22"/>
              </w:rPr>
              <w:br/>
            </w:r>
            <w:r w:rsidRPr="001E2023">
              <w:rPr>
                <w:noProof/>
                <w:sz w:val="20"/>
              </w:rPr>
              <w:t>2027</w:t>
            </w:r>
          </w:p>
        </w:tc>
        <w:tc>
          <w:tcPr>
            <w:tcW w:w="1701" w:type="dxa"/>
          </w:tcPr>
          <w:p w14:paraId="7191E8AE" w14:textId="77777777" w:rsidR="000432E7" w:rsidRPr="001E2023" w:rsidRDefault="000432E7">
            <w:pPr>
              <w:jc w:val="center"/>
              <w:rPr>
                <w:bCs/>
                <w:noProof/>
                <w:sz w:val="20"/>
              </w:rPr>
            </w:pPr>
            <w:r w:rsidRPr="001E2023">
              <w:rPr>
                <w:noProof/>
                <w:sz w:val="20"/>
              </w:rPr>
              <w:t>Spolu</w:t>
            </w:r>
          </w:p>
        </w:tc>
      </w:tr>
      <w:tr w:rsidR="000432E7" w:rsidRPr="001E2023" w14:paraId="7799FF8D" w14:textId="77777777" w:rsidTr="000432E7">
        <w:trPr>
          <w:trHeight w:val="213"/>
        </w:trPr>
        <w:tc>
          <w:tcPr>
            <w:tcW w:w="6456" w:type="dxa"/>
            <w:gridSpan w:val="4"/>
            <w:vAlign w:val="center"/>
          </w:tcPr>
          <w:p w14:paraId="3C8B3636" w14:textId="77777777" w:rsidR="000432E7" w:rsidRPr="001E2023" w:rsidRDefault="000432E7">
            <w:pPr>
              <w:spacing w:before="20" w:after="20"/>
              <w:rPr>
                <w:noProof/>
                <w:sz w:val="21"/>
              </w:rPr>
            </w:pPr>
            <w:r w:rsidRPr="001E2023">
              <w:rPr>
                <w:rFonts w:ascii="Wingdings" w:hAnsi="Wingdings"/>
                <w:noProof/>
                <w:sz w:val="21"/>
              </w:rPr>
              <w:t>□</w:t>
            </w:r>
            <w:r w:rsidRPr="001E2023">
              <w:rPr>
                <w:noProof/>
                <w:sz w:val="21"/>
              </w:rPr>
              <w:t xml:space="preserve"> Operačné rozpočtové prostriedky </w:t>
            </w:r>
          </w:p>
        </w:tc>
        <w:tc>
          <w:tcPr>
            <w:tcW w:w="921" w:type="dxa"/>
            <w:vAlign w:val="center"/>
          </w:tcPr>
          <w:p w14:paraId="43AB7C0D" w14:textId="77777777" w:rsidR="000432E7" w:rsidRPr="001E2023" w:rsidRDefault="000432E7">
            <w:pPr>
              <w:rPr>
                <w:noProof/>
                <w:sz w:val="20"/>
              </w:rPr>
            </w:pPr>
          </w:p>
        </w:tc>
        <w:tc>
          <w:tcPr>
            <w:tcW w:w="921" w:type="dxa"/>
            <w:vAlign w:val="center"/>
          </w:tcPr>
          <w:p w14:paraId="24C2CEAC" w14:textId="77777777" w:rsidR="000432E7" w:rsidRPr="001E2023" w:rsidRDefault="000432E7">
            <w:pPr>
              <w:rPr>
                <w:noProof/>
                <w:sz w:val="20"/>
              </w:rPr>
            </w:pPr>
          </w:p>
        </w:tc>
        <w:tc>
          <w:tcPr>
            <w:tcW w:w="922" w:type="dxa"/>
            <w:vAlign w:val="center"/>
          </w:tcPr>
          <w:p w14:paraId="607F6F0E" w14:textId="77777777" w:rsidR="000432E7" w:rsidRPr="001E2023" w:rsidRDefault="000432E7">
            <w:pPr>
              <w:rPr>
                <w:noProof/>
                <w:sz w:val="20"/>
              </w:rPr>
            </w:pPr>
          </w:p>
        </w:tc>
        <w:tc>
          <w:tcPr>
            <w:tcW w:w="921" w:type="dxa"/>
            <w:vAlign w:val="center"/>
          </w:tcPr>
          <w:p w14:paraId="13D44C5F" w14:textId="77777777" w:rsidR="000432E7" w:rsidRPr="001E2023" w:rsidRDefault="000432E7">
            <w:pPr>
              <w:rPr>
                <w:noProof/>
                <w:sz w:val="20"/>
              </w:rPr>
            </w:pPr>
          </w:p>
        </w:tc>
        <w:tc>
          <w:tcPr>
            <w:tcW w:w="1701" w:type="dxa"/>
          </w:tcPr>
          <w:p w14:paraId="52829BA6" w14:textId="77777777" w:rsidR="000432E7" w:rsidRPr="001E2023" w:rsidRDefault="000432E7">
            <w:pPr>
              <w:rPr>
                <w:bCs/>
                <w:noProof/>
                <w:sz w:val="20"/>
              </w:rPr>
            </w:pPr>
          </w:p>
        </w:tc>
      </w:tr>
      <w:tr w:rsidR="000432E7" w:rsidRPr="001E2023" w14:paraId="2F52E0BD" w14:textId="77777777" w:rsidTr="000432E7">
        <w:trPr>
          <w:trHeight w:val="277"/>
        </w:trPr>
        <w:tc>
          <w:tcPr>
            <w:tcW w:w="3960" w:type="dxa"/>
            <w:vMerge w:val="restart"/>
            <w:vAlign w:val="center"/>
          </w:tcPr>
          <w:p w14:paraId="69EDB2AA" w14:textId="77777777" w:rsidR="000432E7" w:rsidRPr="001E2023" w:rsidRDefault="000432E7">
            <w:pPr>
              <w:rPr>
                <w:noProof/>
              </w:rPr>
            </w:pPr>
            <w:r w:rsidRPr="001E2023">
              <w:rPr>
                <w:noProof/>
                <w:sz w:val="20"/>
              </w:rPr>
              <w:t>Rozpočtový riadok</w:t>
            </w:r>
            <w:r w:rsidRPr="001E2023">
              <w:rPr>
                <w:rStyle w:val="Odkaznapoznmkupodiarou"/>
                <w:noProof/>
                <w:sz w:val="20"/>
                <w:szCs w:val="20"/>
              </w:rPr>
              <w:footnoteReference w:id="22"/>
            </w:r>
            <w:r w:rsidRPr="001E2023">
              <w:rPr>
                <w:noProof/>
                <w:sz w:val="20"/>
              </w:rPr>
              <w:t xml:space="preserve"> 03.04.01</w:t>
            </w:r>
          </w:p>
        </w:tc>
        <w:tc>
          <w:tcPr>
            <w:tcW w:w="1440" w:type="dxa"/>
            <w:vAlign w:val="center"/>
          </w:tcPr>
          <w:p w14:paraId="5EEC1A11" w14:textId="77777777" w:rsidR="000432E7" w:rsidRPr="001E2023" w:rsidRDefault="000432E7">
            <w:pPr>
              <w:spacing w:before="20" w:after="20"/>
              <w:rPr>
                <w:noProof/>
                <w:sz w:val="18"/>
              </w:rPr>
            </w:pPr>
            <w:r w:rsidRPr="001E2023">
              <w:rPr>
                <w:noProof/>
                <w:sz w:val="18"/>
              </w:rPr>
              <w:t>Záväzky</w:t>
            </w:r>
          </w:p>
        </w:tc>
        <w:tc>
          <w:tcPr>
            <w:tcW w:w="1056" w:type="dxa"/>
            <w:gridSpan w:val="2"/>
            <w:vAlign w:val="center"/>
          </w:tcPr>
          <w:p w14:paraId="22B0F71D" w14:textId="77777777" w:rsidR="000432E7" w:rsidRPr="001E2023" w:rsidRDefault="000432E7">
            <w:pPr>
              <w:spacing w:before="20" w:after="20"/>
              <w:jc w:val="center"/>
              <w:rPr>
                <w:noProof/>
                <w:sz w:val="14"/>
              </w:rPr>
            </w:pPr>
            <w:r w:rsidRPr="001E2023">
              <w:rPr>
                <w:noProof/>
                <w:sz w:val="14"/>
              </w:rPr>
              <w:t>(1a)</w:t>
            </w:r>
          </w:p>
        </w:tc>
        <w:tc>
          <w:tcPr>
            <w:tcW w:w="921" w:type="dxa"/>
            <w:shd w:val="clear" w:color="auto" w:fill="auto"/>
            <w:vAlign w:val="center"/>
          </w:tcPr>
          <w:p w14:paraId="7A04CD74" w14:textId="77777777" w:rsidR="000432E7" w:rsidRPr="001E2023" w:rsidRDefault="000432E7">
            <w:pPr>
              <w:spacing w:before="20" w:after="20"/>
              <w:jc w:val="right"/>
              <w:rPr>
                <w:noProof/>
                <w:sz w:val="20"/>
              </w:rPr>
            </w:pPr>
            <w:r w:rsidRPr="001E2023">
              <w:rPr>
                <w:noProof/>
                <w:sz w:val="20"/>
              </w:rPr>
              <w:t>2.3</w:t>
            </w:r>
            <w:r w:rsidRPr="001E2023">
              <w:rPr>
                <w:rStyle w:val="Odkaznapoznmkupodiarou"/>
                <w:noProof/>
                <w:sz w:val="20"/>
              </w:rPr>
              <w:footnoteReference w:id="23"/>
            </w:r>
          </w:p>
        </w:tc>
        <w:tc>
          <w:tcPr>
            <w:tcW w:w="921" w:type="dxa"/>
            <w:shd w:val="clear" w:color="auto" w:fill="auto"/>
            <w:vAlign w:val="center"/>
          </w:tcPr>
          <w:p w14:paraId="254AC4A4" w14:textId="77777777" w:rsidR="000432E7" w:rsidRPr="001E2023" w:rsidRDefault="000432E7">
            <w:pPr>
              <w:spacing w:before="20" w:after="20"/>
              <w:jc w:val="right"/>
              <w:rPr>
                <w:noProof/>
                <w:sz w:val="20"/>
              </w:rPr>
            </w:pPr>
            <w:r w:rsidRPr="001E2023">
              <w:rPr>
                <w:noProof/>
                <w:sz w:val="20"/>
              </w:rPr>
              <w:t>0</w:t>
            </w:r>
          </w:p>
        </w:tc>
        <w:tc>
          <w:tcPr>
            <w:tcW w:w="922" w:type="dxa"/>
            <w:shd w:val="clear" w:color="auto" w:fill="auto"/>
            <w:vAlign w:val="center"/>
          </w:tcPr>
          <w:p w14:paraId="406697D4" w14:textId="77777777" w:rsidR="000432E7" w:rsidRPr="001E2023" w:rsidRDefault="000432E7">
            <w:pPr>
              <w:spacing w:before="20" w:after="20"/>
              <w:jc w:val="right"/>
              <w:rPr>
                <w:noProof/>
                <w:sz w:val="20"/>
              </w:rPr>
            </w:pPr>
            <w:r w:rsidRPr="001E2023">
              <w:rPr>
                <w:noProof/>
                <w:sz w:val="20"/>
              </w:rPr>
              <w:t>0,65</w:t>
            </w:r>
          </w:p>
        </w:tc>
        <w:tc>
          <w:tcPr>
            <w:tcW w:w="921" w:type="dxa"/>
            <w:shd w:val="clear" w:color="auto" w:fill="auto"/>
            <w:vAlign w:val="center"/>
          </w:tcPr>
          <w:p w14:paraId="3ADB6819" w14:textId="77777777" w:rsidR="000432E7" w:rsidRPr="001E2023" w:rsidRDefault="000432E7">
            <w:pPr>
              <w:spacing w:before="20" w:after="20"/>
              <w:jc w:val="right"/>
              <w:rPr>
                <w:noProof/>
                <w:sz w:val="20"/>
              </w:rPr>
            </w:pPr>
            <w:r w:rsidRPr="001E2023">
              <w:rPr>
                <w:noProof/>
                <w:sz w:val="20"/>
              </w:rPr>
              <w:t>0,35</w:t>
            </w:r>
          </w:p>
        </w:tc>
        <w:tc>
          <w:tcPr>
            <w:tcW w:w="1701" w:type="dxa"/>
          </w:tcPr>
          <w:p w14:paraId="0E3556E2" w14:textId="77777777" w:rsidR="000432E7" w:rsidRPr="001E2023" w:rsidRDefault="000432E7">
            <w:pPr>
              <w:spacing w:before="20" w:after="20"/>
              <w:jc w:val="right"/>
              <w:rPr>
                <w:bCs/>
                <w:noProof/>
                <w:sz w:val="20"/>
              </w:rPr>
            </w:pPr>
            <w:r w:rsidRPr="001E2023">
              <w:rPr>
                <w:noProof/>
                <w:sz w:val="20"/>
              </w:rPr>
              <w:t>3,3</w:t>
            </w:r>
          </w:p>
        </w:tc>
      </w:tr>
      <w:tr w:rsidR="000432E7" w:rsidRPr="001E2023" w14:paraId="73572C89" w14:textId="77777777" w:rsidTr="000432E7">
        <w:tc>
          <w:tcPr>
            <w:tcW w:w="3960" w:type="dxa"/>
            <w:vMerge/>
          </w:tcPr>
          <w:p w14:paraId="198474D3" w14:textId="77777777" w:rsidR="000432E7" w:rsidRPr="001E2023" w:rsidRDefault="000432E7" w:rsidP="006C68FE">
            <w:pPr>
              <w:jc w:val="center"/>
              <w:rPr>
                <w:noProof/>
                <w:sz w:val="20"/>
              </w:rPr>
            </w:pPr>
          </w:p>
        </w:tc>
        <w:tc>
          <w:tcPr>
            <w:tcW w:w="1440" w:type="dxa"/>
            <w:vAlign w:val="center"/>
          </w:tcPr>
          <w:p w14:paraId="0982850B" w14:textId="77777777" w:rsidR="000432E7" w:rsidRPr="001E2023" w:rsidRDefault="000432E7" w:rsidP="006C68FE">
            <w:pPr>
              <w:spacing w:before="20" w:after="20"/>
              <w:rPr>
                <w:noProof/>
                <w:sz w:val="18"/>
              </w:rPr>
            </w:pPr>
            <w:r w:rsidRPr="001E2023">
              <w:rPr>
                <w:noProof/>
                <w:sz w:val="18"/>
              </w:rPr>
              <w:t>Platby</w:t>
            </w:r>
          </w:p>
        </w:tc>
        <w:tc>
          <w:tcPr>
            <w:tcW w:w="1056" w:type="dxa"/>
            <w:gridSpan w:val="2"/>
            <w:vAlign w:val="center"/>
          </w:tcPr>
          <w:p w14:paraId="6F36A7EC" w14:textId="77777777" w:rsidR="000432E7" w:rsidRPr="001E2023" w:rsidRDefault="000432E7" w:rsidP="006C68FE">
            <w:pPr>
              <w:spacing w:before="20" w:after="20"/>
              <w:jc w:val="center"/>
              <w:rPr>
                <w:noProof/>
                <w:sz w:val="14"/>
              </w:rPr>
            </w:pPr>
            <w:r w:rsidRPr="001E2023">
              <w:rPr>
                <w:noProof/>
                <w:sz w:val="14"/>
              </w:rPr>
              <w:t>(2a)</w:t>
            </w:r>
          </w:p>
        </w:tc>
        <w:tc>
          <w:tcPr>
            <w:tcW w:w="921" w:type="dxa"/>
            <w:shd w:val="clear" w:color="auto" w:fill="auto"/>
            <w:vAlign w:val="center"/>
          </w:tcPr>
          <w:p w14:paraId="1ED4FA07" w14:textId="77777777" w:rsidR="000432E7" w:rsidRPr="001E2023" w:rsidRDefault="000432E7" w:rsidP="006C68FE">
            <w:pPr>
              <w:spacing w:before="20" w:after="20"/>
              <w:jc w:val="right"/>
              <w:rPr>
                <w:noProof/>
                <w:sz w:val="20"/>
              </w:rPr>
            </w:pPr>
            <w:r w:rsidRPr="001E2023">
              <w:rPr>
                <w:noProof/>
                <w:sz w:val="20"/>
              </w:rPr>
              <w:t>0</w:t>
            </w:r>
          </w:p>
        </w:tc>
        <w:tc>
          <w:tcPr>
            <w:tcW w:w="921" w:type="dxa"/>
            <w:shd w:val="clear" w:color="auto" w:fill="auto"/>
            <w:vAlign w:val="center"/>
          </w:tcPr>
          <w:p w14:paraId="6B88AA98" w14:textId="77777777" w:rsidR="000432E7" w:rsidRPr="001E2023" w:rsidRDefault="000432E7" w:rsidP="006C68FE">
            <w:pPr>
              <w:spacing w:before="20" w:after="20"/>
              <w:jc w:val="right"/>
              <w:rPr>
                <w:noProof/>
                <w:sz w:val="20"/>
              </w:rPr>
            </w:pPr>
            <w:r w:rsidRPr="001E2023">
              <w:rPr>
                <w:noProof/>
                <w:sz w:val="20"/>
              </w:rPr>
              <w:t>2,3</w:t>
            </w:r>
          </w:p>
        </w:tc>
        <w:tc>
          <w:tcPr>
            <w:tcW w:w="922" w:type="dxa"/>
            <w:shd w:val="clear" w:color="auto" w:fill="auto"/>
            <w:vAlign w:val="center"/>
          </w:tcPr>
          <w:p w14:paraId="75057111" w14:textId="77777777" w:rsidR="000432E7" w:rsidRPr="001E2023" w:rsidRDefault="000432E7" w:rsidP="006C68FE">
            <w:pPr>
              <w:spacing w:before="20" w:after="20"/>
              <w:jc w:val="right"/>
              <w:rPr>
                <w:noProof/>
                <w:sz w:val="20"/>
              </w:rPr>
            </w:pPr>
            <w:r w:rsidRPr="001E2023">
              <w:rPr>
                <w:noProof/>
                <w:sz w:val="20"/>
              </w:rPr>
              <w:t>0,65</w:t>
            </w:r>
          </w:p>
        </w:tc>
        <w:tc>
          <w:tcPr>
            <w:tcW w:w="921" w:type="dxa"/>
            <w:shd w:val="clear" w:color="auto" w:fill="auto"/>
            <w:vAlign w:val="center"/>
          </w:tcPr>
          <w:p w14:paraId="6CCF9016" w14:textId="77777777" w:rsidR="000432E7" w:rsidRPr="001E2023" w:rsidRDefault="000432E7" w:rsidP="006C68FE">
            <w:pPr>
              <w:spacing w:before="20" w:after="20"/>
              <w:jc w:val="right"/>
              <w:rPr>
                <w:noProof/>
                <w:sz w:val="20"/>
              </w:rPr>
            </w:pPr>
            <w:r w:rsidRPr="001E2023">
              <w:rPr>
                <w:noProof/>
                <w:sz w:val="20"/>
              </w:rPr>
              <w:t>0,35</w:t>
            </w:r>
          </w:p>
        </w:tc>
        <w:tc>
          <w:tcPr>
            <w:tcW w:w="1701" w:type="dxa"/>
          </w:tcPr>
          <w:p w14:paraId="71D78005" w14:textId="77777777" w:rsidR="000432E7" w:rsidRPr="001E2023" w:rsidRDefault="000432E7" w:rsidP="006C68FE">
            <w:pPr>
              <w:spacing w:before="20" w:after="20"/>
              <w:jc w:val="right"/>
              <w:rPr>
                <w:noProof/>
                <w:sz w:val="20"/>
              </w:rPr>
            </w:pPr>
            <w:r w:rsidRPr="001E2023">
              <w:rPr>
                <w:noProof/>
                <w:sz w:val="20"/>
              </w:rPr>
              <w:t>3,3</w:t>
            </w:r>
          </w:p>
        </w:tc>
      </w:tr>
      <w:tr w:rsidR="000432E7" w:rsidRPr="001E2023" w14:paraId="21F83663" w14:textId="77777777" w:rsidTr="000432E7">
        <w:tc>
          <w:tcPr>
            <w:tcW w:w="3960" w:type="dxa"/>
            <w:vMerge w:val="restart"/>
            <w:vAlign w:val="center"/>
          </w:tcPr>
          <w:p w14:paraId="7254732F" w14:textId="77777777" w:rsidR="000432E7" w:rsidRPr="001E2023" w:rsidRDefault="000432E7" w:rsidP="006C68FE">
            <w:pPr>
              <w:rPr>
                <w:noProof/>
              </w:rPr>
            </w:pPr>
            <w:r w:rsidRPr="001E2023">
              <w:rPr>
                <w:noProof/>
                <w:sz w:val="20"/>
              </w:rPr>
              <w:t>Rozpočtový riadok</w:t>
            </w:r>
          </w:p>
        </w:tc>
        <w:tc>
          <w:tcPr>
            <w:tcW w:w="1440" w:type="dxa"/>
            <w:vAlign w:val="center"/>
          </w:tcPr>
          <w:p w14:paraId="2CD3D62D" w14:textId="77777777" w:rsidR="000432E7" w:rsidRPr="001E2023" w:rsidRDefault="000432E7" w:rsidP="006C68FE">
            <w:pPr>
              <w:spacing w:before="20" w:after="20"/>
              <w:rPr>
                <w:noProof/>
                <w:sz w:val="18"/>
              </w:rPr>
            </w:pPr>
            <w:r w:rsidRPr="001E2023">
              <w:rPr>
                <w:noProof/>
                <w:sz w:val="18"/>
              </w:rPr>
              <w:t>Záväzky</w:t>
            </w:r>
          </w:p>
        </w:tc>
        <w:tc>
          <w:tcPr>
            <w:tcW w:w="1056" w:type="dxa"/>
            <w:gridSpan w:val="2"/>
            <w:vAlign w:val="center"/>
          </w:tcPr>
          <w:p w14:paraId="55CC38D0" w14:textId="77777777" w:rsidR="000432E7" w:rsidRPr="001E2023" w:rsidRDefault="000432E7" w:rsidP="006C68FE">
            <w:pPr>
              <w:spacing w:before="20" w:after="20"/>
              <w:jc w:val="center"/>
              <w:rPr>
                <w:noProof/>
                <w:sz w:val="14"/>
              </w:rPr>
            </w:pPr>
            <w:r w:rsidRPr="001E2023">
              <w:rPr>
                <w:noProof/>
                <w:sz w:val="14"/>
              </w:rPr>
              <w:t>(1b)</w:t>
            </w:r>
          </w:p>
        </w:tc>
        <w:tc>
          <w:tcPr>
            <w:tcW w:w="921" w:type="dxa"/>
            <w:shd w:val="clear" w:color="auto" w:fill="auto"/>
            <w:vAlign w:val="center"/>
          </w:tcPr>
          <w:p w14:paraId="16AC73CF" w14:textId="77777777" w:rsidR="000432E7" w:rsidRPr="001E2023" w:rsidRDefault="000432E7" w:rsidP="006C68FE">
            <w:pPr>
              <w:spacing w:before="20" w:after="20"/>
              <w:jc w:val="right"/>
              <w:rPr>
                <w:noProof/>
                <w:sz w:val="20"/>
              </w:rPr>
            </w:pPr>
          </w:p>
        </w:tc>
        <w:tc>
          <w:tcPr>
            <w:tcW w:w="921" w:type="dxa"/>
            <w:shd w:val="clear" w:color="auto" w:fill="auto"/>
            <w:vAlign w:val="center"/>
          </w:tcPr>
          <w:p w14:paraId="70E3836B" w14:textId="77777777" w:rsidR="000432E7" w:rsidRPr="001E2023" w:rsidRDefault="000432E7" w:rsidP="006C68FE">
            <w:pPr>
              <w:spacing w:before="20" w:after="20"/>
              <w:jc w:val="right"/>
              <w:rPr>
                <w:noProof/>
                <w:sz w:val="20"/>
              </w:rPr>
            </w:pPr>
          </w:p>
        </w:tc>
        <w:tc>
          <w:tcPr>
            <w:tcW w:w="922" w:type="dxa"/>
            <w:shd w:val="clear" w:color="auto" w:fill="auto"/>
            <w:vAlign w:val="center"/>
          </w:tcPr>
          <w:p w14:paraId="63359B0D" w14:textId="77777777" w:rsidR="000432E7" w:rsidRPr="001E2023" w:rsidRDefault="000432E7" w:rsidP="006C68FE">
            <w:pPr>
              <w:spacing w:before="20" w:after="20"/>
              <w:jc w:val="right"/>
              <w:rPr>
                <w:noProof/>
                <w:sz w:val="20"/>
              </w:rPr>
            </w:pPr>
          </w:p>
        </w:tc>
        <w:tc>
          <w:tcPr>
            <w:tcW w:w="921" w:type="dxa"/>
            <w:shd w:val="clear" w:color="auto" w:fill="auto"/>
            <w:vAlign w:val="center"/>
          </w:tcPr>
          <w:p w14:paraId="1A8A333E" w14:textId="77777777" w:rsidR="000432E7" w:rsidRPr="001E2023" w:rsidRDefault="000432E7" w:rsidP="006C68FE">
            <w:pPr>
              <w:spacing w:before="20" w:after="20"/>
              <w:jc w:val="right"/>
              <w:rPr>
                <w:noProof/>
                <w:sz w:val="20"/>
              </w:rPr>
            </w:pPr>
          </w:p>
        </w:tc>
        <w:tc>
          <w:tcPr>
            <w:tcW w:w="1701" w:type="dxa"/>
          </w:tcPr>
          <w:p w14:paraId="42DC8C1E" w14:textId="77777777" w:rsidR="000432E7" w:rsidRPr="001E2023" w:rsidRDefault="000432E7" w:rsidP="006C68FE">
            <w:pPr>
              <w:spacing w:before="20" w:after="20"/>
              <w:jc w:val="right"/>
              <w:rPr>
                <w:bCs/>
                <w:noProof/>
                <w:sz w:val="20"/>
              </w:rPr>
            </w:pPr>
          </w:p>
        </w:tc>
      </w:tr>
      <w:tr w:rsidR="000432E7" w:rsidRPr="001E2023" w14:paraId="1F62DF6C" w14:textId="77777777" w:rsidTr="000432E7">
        <w:tc>
          <w:tcPr>
            <w:tcW w:w="3960" w:type="dxa"/>
            <w:vMerge/>
          </w:tcPr>
          <w:p w14:paraId="4A4B457D" w14:textId="77777777" w:rsidR="000432E7" w:rsidRPr="001E2023" w:rsidRDefault="000432E7" w:rsidP="006C68FE">
            <w:pPr>
              <w:jc w:val="center"/>
              <w:rPr>
                <w:noProof/>
                <w:sz w:val="20"/>
              </w:rPr>
            </w:pPr>
          </w:p>
        </w:tc>
        <w:tc>
          <w:tcPr>
            <w:tcW w:w="1440" w:type="dxa"/>
            <w:vAlign w:val="center"/>
          </w:tcPr>
          <w:p w14:paraId="44B597DD" w14:textId="77777777" w:rsidR="000432E7" w:rsidRPr="001E2023" w:rsidRDefault="000432E7" w:rsidP="006C68FE">
            <w:pPr>
              <w:spacing w:before="20" w:after="20"/>
              <w:rPr>
                <w:noProof/>
                <w:sz w:val="18"/>
              </w:rPr>
            </w:pPr>
            <w:r w:rsidRPr="001E2023">
              <w:rPr>
                <w:noProof/>
                <w:sz w:val="18"/>
              </w:rPr>
              <w:t>Platby</w:t>
            </w:r>
          </w:p>
        </w:tc>
        <w:tc>
          <w:tcPr>
            <w:tcW w:w="1056" w:type="dxa"/>
            <w:gridSpan w:val="2"/>
            <w:vAlign w:val="center"/>
          </w:tcPr>
          <w:p w14:paraId="058FCFC2" w14:textId="77777777" w:rsidR="000432E7" w:rsidRPr="001E2023" w:rsidRDefault="000432E7" w:rsidP="006C68FE">
            <w:pPr>
              <w:spacing w:before="20" w:after="20"/>
              <w:jc w:val="center"/>
              <w:rPr>
                <w:noProof/>
                <w:sz w:val="14"/>
              </w:rPr>
            </w:pPr>
            <w:r w:rsidRPr="001E2023">
              <w:rPr>
                <w:noProof/>
                <w:sz w:val="14"/>
              </w:rPr>
              <w:t>(2b)</w:t>
            </w:r>
          </w:p>
        </w:tc>
        <w:tc>
          <w:tcPr>
            <w:tcW w:w="921" w:type="dxa"/>
            <w:shd w:val="clear" w:color="auto" w:fill="auto"/>
            <w:vAlign w:val="center"/>
          </w:tcPr>
          <w:p w14:paraId="7921EA1D" w14:textId="77777777" w:rsidR="000432E7" w:rsidRPr="001E2023" w:rsidRDefault="000432E7" w:rsidP="006C68FE">
            <w:pPr>
              <w:spacing w:before="20" w:after="20"/>
              <w:jc w:val="right"/>
              <w:rPr>
                <w:noProof/>
                <w:sz w:val="20"/>
              </w:rPr>
            </w:pPr>
          </w:p>
        </w:tc>
        <w:tc>
          <w:tcPr>
            <w:tcW w:w="921" w:type="dxa"/>
            <w:shd w:val="clear" w:color="auto" w:fill="auto"/>
            <w:vAlign w:val="center"/>
          </w:tcPr>
          <w:p w14:paraId="251F53EC" w14:textId="77777777" w:rsidR="000432E7" w:rsidRPr="001E2023" w:rsidRDefault="000432E7" w:rsidP="006C68FE">
            <w:pPr>
              <w:spacing w:before="20" w:after="20"/>
              <w:jc w:val="right"/>
              <w:rPr>
                <w:noProof/>
                <w:sz w:val="20"/>
              </w:rPr>
            </w:pPr>
          </w:p>
        </w:tc>
        <w:tc>
          <w:tcPr>
            <w:tcW w:w="922" w:type="dxa"/>
            <w:shd w:val="clear" w:color="auto" w:fill="auto"/>
            <w:vAlign w:val="center"/>
          </w:tcPr>
          <w:p w14:paraId="3DE3421A" w14:textId="77777777" w:rsidR="000432E7" w:rsidRPr="001E2023" w:rsidRDefault="000432E7" w:rsidP="006C68FE">
            <w:pPr>
              <w:spacing w:before="20" w:after="20"/>
              <w:jc w:val="right"/>
              <w:rPr>
                <w:noProof/>
                <w:sz w:val="20"/>
              </w:rPr>
            </w:pPr>
          </w:p>
        </w:tc>
        <w:tc>
          <w:tcPr>
            <w:tcW w:w="921" w:type="dxa"/>
            <w:shd w:val="clear" w:color="auto" w:fill="auto"/>
            <w:vAlign w:val="center"/>
          </w:tcPr>
          <w:p w14:paraId="526BB038" w14:textId="77777777" w:rsidR="000432E7" w:rsidRPr="001E2023" w:rsidRDefault="000432E7" w:rsidP="006C68FE">
            <w:pPr>
              <w:spacing w:before="20" w:after="20"/>
              <w:jc w:val="right"/>
              <w:rPr>
                <w:noProof/>
                <w:sz w:val="20"/>
              </w:rPr>
            </w:pPr>
          </w:p>
        </w:tc>
        <w:tc>
          <w:tcPr>
            <w:tcW w:w="1701" w:type="dxa"/>
          </w:tcPr>
          <w:p w14:paraId="085426D8" w14:textId="77777777" w:rsidR="000432E7" w:rsidRPr="001E2023" w:rsidRDefault="000432E7" w:rsidP="006C68FE">
            <w:pPr>
              <w:spacing w:before="20" w:after="20"/>
              <w:jc w:val="right"/>
              <w:rPr>
                <w:bCs/>
                <w:noProof/>
                <w:sz w:val="20"/>
              </w:rPr>
            </w:pPr>
          </w:p>
        </w:tc>
      </w:tr>
      <w:tr w:rsidR="000432E7" w:rsidRPr="001E2023" w14:paraId="1DBA8B43" w14:textId="77777777" w:rsidTr="000432E7">
        <w:trPr>
          <w:trHeight w:val="231"/>
        </w:trPr>
        <w:tc>
          <w:tcPr>
            <w:tcW w:w="6456" w:type="dxa"/>
            <w:gridSpan w:val="4"/>
            <w:vAlign w:val="center"/>
          </w:tcPr>
          <w:p w14:paraId="2F21F97E" w14:textId="77777777" w:rsidR="000432E7" w:rsidRPr="001E2023" w:rsidRDefault="000432E7" w:rsidP="00013244">
            <w:pPr>
              <w:spacing w:before="20" w:after="20"/>
              <w:rPr>
                <w:noProof/>
              </w:rPr>
            </w:pPr>
            <w:r w:rsidRPr="001E2023">
              <w:rPr>
                <w:noProof/>
                <w:sz w:val="21"/>
              </w:rPr>
              <w:t>Administratívne rozpočtové prostriedky financované</w:t>
            </w:r>
            <w:r w:rsidR="001E2023">
              <w:rPr>
                <w:noProof/>
                <w:sz w:val="21"/>
              </w:rPr>
              <w:t xml:space="preserve"> z </w:t>
            </w:r>
            <w:r w:rsidRPr="001E2023">
              <w:rPr>
                <w:noProof/>
                <w:sz w:val="21"/>
              </w:rPr>
              <w:t>finančného krytia na vykonávanie osobitných programov</w:t>
            </w:r>
            <w:r w:rsidRPr="001E2023">
              <w:rPr>
                <w:rStyle w:val="Odkaznapoznmkupodiarou"/>
                <w:noProof/>
                <w:sz w:val="21"/>
                <w:szCs w:val="21"/>
              </w:rPr>
              <w:footnoteReference w:id="24"/>
            </w:r>
            <w:r w:rsidRPr="001E2023">
              <w:rPr>
                <w:noProof/>
                <w:sz w:val="21"/>
              </w:rPr>
              <w:t xml:space="preserve"> </w:t>
            </w:r>
          </w:p>
        </w:tc>
        <w:tc>
          <w:tcPr>
            <w:tcW w:w="921" w:type="dxa"/>
            <w:shd w:val="clear" w:color="auto" w:fill="auto"/>
            <w:vAlign w:val="center"/>
          </w:tcPr>
          <w:p w14:paraId="456D26A6" w14:textId="77777777" w:rsidR="000432E7" w:rsidRPr="001E2023" w:rsidRDefault="000432E7" w:rsidP="006C68FE">
            <w:pPr>
              <w:rPr>
                <w:b/>
                <w:noProof/>
                <w:sz w:val="20"/>
              </w:rPr>
            </w:pPr>
          </w:p>
        </w:tc>
        <w:tc>
          <w:tcPr>
            <w:tcW w:w="921" w:type="dxa"/>
            <w:shd w:val="clear" w:color="auto" w:fill="auto"/>
            <w:vAlign w:val="center"/>
          </w:tcPr>
          <w:p w14:paraId="077079E9" w14:textId="77777777" w:rsidR="000432E7" w:rsidRPr="001E2023" w:rsidRDefault="000432E7" w:rsidP="006C68FE">
            <w:pPr>
              <w:rPr>
                <w:b/>
                <w:noProof/>
                <w:sz w:val="20"/>
              </w:rPr>
            </w:pPr>
          </w:p>
        </w:tc>
        <w:tc>
          <w:tcPr>
            <w:tcW w:w="922" w:type="dxa"/>
            <w:shd w:val="clear" w:color="auto" w:fill="auto"/>
            <w:vAlign w:val="center"/>
          </w:tcPr>
          <w:p w14:paraId="01019DB0" w14:textId="77777777" w:rsidR="000432E7" w:rsidRPr="001E2023" w:rsidRDefault="000432E7" w:rsidP="006C68FE">
            <w:pPr>
              <w:rPr>
                <w:b/>
                <w:noProof/>
                <w:sz w:val="20"/>
              </w:rPr>
            </w:pPr>
          </w:p>
        </w:tc>
        <w:tc>
          <w:tcPr>
            <w:tcW w:w="921" w:type="dxa"/>
            <w:shd w:val="clear" w:color="auto" w:fill="auto"/>
            <w:vAlign w:val="center"/>
          </w:tcPr>
          <w:p w14:paraId="360B2BB3" w14:textId="77777777" w:rsidR="000432E7" w:rsidRPr="001E2023" w:rsidRDefault="000432E7" w:rsidP="006C68FE">
            <w:pPr>
              <w:rPr>
                <w:b/>
                <w:noProof/>
                <w:sz w:val="20"/>
              </w:rPr>
            </w:pPr>
          </w:p>
        </w:tc>
        <w:tc>
          <w:tcPr>
            <w:tcW w:w="1701" w:type="dxa"/>
          </w:tcPr>
          <w:p w14:paraId="659845CC" w14:textId="77777777" w:rsidR="000432E7" w:rsidRPr="001E2023" w:rsidRDefault="000432E7" w:rsidP="006C68FE">
            <w:pPr>
              <w:rPr>
                <w:bCs/>
                <w:noProof/>
                <w:sz w:val="20"/>
              </w:rPr>
            </w:pPr>
          </w:p>
        </w:tc>
      </w:tr>
      <w:tr w:rsidR="000432E7" w:rsidRPr="001E2023" w14:paraId="46DD9085" w14:textId="77777777" w:rsidTr="000432E7">
        <w:trPr>
          <w:trHeight w:val="319"/>
        </w:trPr>
        <w:tc>
          <w:tcPr>
            <w:tcW w:w="3960" w:type="dxa"/>
            <w:vAlign w:val="center"/>
          </w:tcPr>
          <w:p w14:paraId="187D4F40" w14:textId="77777777" w:rsidR="000432E7" w:rsidRPr="001E2023" w:rsidRDefault="000432E7" w:rsidP="006C68FE">
            <w:pPr>
              <w:spacing w:before="60" w:after="60"/>
              <w:rPr>
                <w:noProof/>
              </w:rPr>
            </w:pPr>
            <w:r w:rsidRPr="001E2023">
              <w:rPr>
                <w:noProof/>
                <w:sz w:val="20"/>
              </w:rPr>
              <w:t>Rozpočtový riadok</w:t>
            </w:r>
          </w:p>
        </w:tc>
        <w:tc>
          <w:tcPr>
            <w:tcW w:w="1440" w:type="dxa"/>
            <w:vAlign w:val="center"/>
          </w:tcPr>
          <w:p w14:paraId="1A560FC9" w14:textId="77777777" w:rsidR="000432E7" w:rsidRPr="001E2023" w:rsidRDefault="000432E7" w:rsidP="006C68FE">
            <w:pPr>
              <w:spacing w:before="40" w:after="40"/>
              <w:jc w:val="right"/>
              <w:rPr>
                <w:noProof/>
                <w:sz w:val="18"/>
              </w:rPr>
            </w:pPr>
          </w:p>
        </w:tc>
        <w:tc>
          <w:tcPr>
            <w:tcW w:w="1056" w:type="dxa"/>
            <w:gridSpan w:val="2"/>
            <w:vAlign w:val="center"/>
          </w:tcPr>
          <w:p w14:paraId="72A85B12" w14:textId="77777777" w:rsidR="000432E7" w:rsidRPr="001E2023" w:rsidRDefault="000432E7" w:rsidP="006C68FE">
            <w:pPr>
              <w:spacing w:before="40" w:after="40"/>
              <w:jc w:val="center"/>
              <w:rPr>
                <w:noProof/>
                <w:sz w:val="14"/>
              </w:rPr>
            </w:pPr>
            <w:r w:rsidRPr="001E2023">
              <w:rPr>
                <w:noProof/>
                <w:sz w:val="14"/>
              </w:rPr>
              <w:t>(3)</w:t>
            </w:r>
          </w:p>
        </w:tc>
        <w:tc>
          <w:tcPr>
            <w:tcW w:w="921" w:type="dxa"/>
            <w:shd w:val="clear" w:color="auto" w:fill="auto"/>
            <w:vAlign w:val="center"/>
          </w:tcPr>
          <w:p w14:paraId="3FBAC590" w14:textId="77777777" w:rsidR="000432E7" w:rsidRPr="001E2023" w:rsidRDefault="000432E7" w:rsidP="006C68FE">
            <w:pPr>
              <w:spacing w:before="40" w:after="40"/>
              <w:jc w:val="right"/>
              <w:rPr>
                <w:b/>
                <w:noProof/>
                <w:sz w:val="20"/>
              </w:rPr>
            </w:pPr>
          </w:p>
        </w:tc>
        <w:tc>
          <w:tcPr>
            <w:tcW w:w="921" w:type="dxa"/>
            <w:shd w:val="clear" w:color="auto" w:fill="auto"/>
            <w:vAlign w:val="center"/>
          </w:tcPr>
          <w:p w14:paraId="7B3A013F" w14:textId="77777777" w:rsidR="000432E7" w:rsidRPr="001E2023" w:rsidRDefault="000432E7" w:rsidP="006C68FE">
            <w:pPr>
              <w:spacing w:before="40" w:after="40"/>
              <w:jc w:val="right"/>
              <w:rPr>
                <w:b/>
                <w:noProof/>
                <w:sz w:val="20"/>
              </w:rPr>
            </w:pPr>
          </w:p>
        </w:tc>
        <w:tc>
          <w:tcPr>
            <w:tcW w:w="922" w:type="dxa"/>
            <w:shd w:val="clear" w:color="auto" w:fill="auto"/>
            <w:vAlign w:val="center"/>
          </w:tcPr>
          <w:p w14:paraId="7B4EC937" w14:textId="77777777" w:rsidR="000432E7" w:rsidRPr="001E2023" w:rsidRDefault="000432E7" w:rsidP="006C68FE">
            <w:pPr>
              <w:spacing w:before="40" w:after="40"/>
              <w:jc w:val="right"/>
              <w:rPr>
                <w:b/>
                <w:noProof/>
                <w:sz w:val="20"/>
              </w:rPr>
            </w:pPr>
          </w:p>
        </w:tc>
        <w:tc>
          <w:tcPr>
            <w:tcW w:w="921" w:type="dxa"/>
            <w:shd w:val="clear" w:color="auto" w:fill="auto"/>
            <w:vAlign w:val="center"/>
          </w:tcPr>
          <w:p w14:paraId="188A4296" w14:textId="77777777" w:rsidR="000432E7" w:rsidRPr="001E2023" w:rsidRDefault="000432E7" w:rsidP="006C68FE">
            <w:pPr>
              <w:spacing w:before="40" w:after="40"/>
              <w:jc w:val="right"/>
              <w:rPr>
                <w:b/>
                <w:noProof/>
                <w:sz w:val="20"/>
              </w:rPr>
            </w:pPr>
          </w:p>
        </w:tc>
        <w:tc>
          <w:tcPr>
            <w:tcW w:w="1701" w:type="dxa"/>
          </w:tcPr>
          <w:p w14:paraId="0B2934DC" w14:textId="77777777" w:rsidR="000432E7" w:rsidRPr="001E2023" w:rsidRDefault="000432E7" w:rsidP="006C68FE">
            <w:pPr>
              <w:spacing w:before="40" w:after="40"/>
              <w:jc w:val="right"/>
              <w:rPr>
                <w:bCs/>
                <w:noProof/>
                <w:sz w:val="20"/>
              </w:rPr>
            </w:pPr>
          </w:p>
        </w:tc>
      </w:tr>
      <w:tr w:rsidR="000432E7" w:rsidRPr="001E2023" w14:paraId="2A3BFEE4" w14:textId="77777777" w:rsidTr="000432E7">
        <w:tc>
          <w:tcPr>
            <w:tcW w:w="3960" w:type="dxa"/>
            <w:vMerge w:val="restart"/>
            <w:vAlign w:val="center"/>
          </w:tcPr>
          <w:p w14:paraId="3CFE2BCA" w14:textId="77777777" w:rsidR="000432E7" w:rsidRPr="001E2023" w:rsidRDefault="000432E7" w:rsidP="008E5598">
            <w:pPr>
              <w:jc w:val="center"/>
              <w:rPr>
                <w:b/>
                <w:noProof/>
              </w:rPr>
            </w:pPr>
            <w:r w:rsidRPr="001E2023">
              <w:rPr>
                <w:b/>
                <w:noProof/>
                <w:sz w:val="22"/>
              </w:rPr>
              <w:t>Rozpočtové prostriedky</w:t>
            </w:r>
            <w:r w:rsidRPr="001E2023">
              <w:rPr>
                <w:noProof/>
                <w:sz w:val="22"/>
              </w:rPr>
              <w:br/>
            </w:r>
            <w:r w:rsidRPr="001E2023">
              <w:rPr>
                <w:b/>
                <w:noProof/>
                <w:sz w:val="22"/>
              </w:rPr>
              <w:t>pre GR TAXUD SPOLU</w:t>
            </w:r>
          </w:p>
        </w:tc>
        <w:tc>
          <w:tcPr>
            <w:tcW w:w="1440" w:type="dxa"/>
            <w:vAlign w:val="center"/>
          </w:tcPr>
          <w:p w14:paraId="7DE2A651" w14:textId="77777777" w:rsidR="000432E7" w:rsidRPr="001E2023" w:rsidRDefault="000432E7" w:rsidP="008E5598">
            <w:pPr>
              <w:rPr>
                <w:noProof/>
                <w:sz w:val="18"/>
              </w:rPr>
            </w:pPr>
            <w:r w:rsidRPr="001E2023">
              <w:rPr>
                <w:noProof/>
                <w:sz w:val="18"/>
              </w:rPr>
              <w:t>Záväzky</w:t>
            </w:r>
          </w:p>
        </w:tc>
        <w:tc>
          <w:tcPr>
            <w:tcW w:w="1056" w:type="dxa"/>
            <w:gridSpan w:val="2"/>
            <w:vAlign w:val="center"/>
          </w:tcPr>
          <w:p w14:paraId="7B136BA1" w14:textId="77777777" w:rsidR="000432E7" w:rsidRPr="001E2023" w:rsidRDefault="000432E7" w:rsidP="008E5598">
            <w:pPr>
              <w:jc w:val="center"/>
              <w:rPr>
                <w:noProof/>
                <w:sz w:val="14"/>
              </w:rPr>
            </w:pPr>
            <w:r w:rsidRPr="001E2023">
              <w:rPr>
                <w:noProof/>
                <w:sz w:val="14"/>
              </w:rPr>
              <w:t>= 1a + 1b + 3</w:t>
            </w:r>
          </w:p>
        </w:tc>
        <w:tc>
          <w:tcPr>
            <w:tcW w:w="921" w:type="dxa"/>
            <w:shd w:val="clear" w:color="auto" w:fill="auto"/>
            <w:vAlign w:val="center"/>
          </w:tcPr>
          <w:p w14:paraId="33150995" w14:textId="77777777" w:rsidR="000432E7" w:rsidRPr="001E2023" w:rsidRDefault="000432E7" w:rsidP="008E5598">
            <w:pPr>
              <w:spacing w:before="20" w:after="20"/>
              <w:jc w:val="right"/>
              <w:rPr>
                <w:noProof/>
                <w:sz w:val="20"/>
              </w:rPr>
            </w:pPr>
            <w:r w:rsidRPr="001E2023">
              <w:rPr>
                <w:noProof/>
                <w:sz w:val="20"/>
              </w:rPr>
              <w:t>2,3</w:t>
            </w:r>
          </w:p>
        </w:tc>
        <w:tc>
          <w:tcPr>
            <w:tcW w:w="921" w:type="dxa"/>
            <w:shd w:val="clear" w:color="auto" w:fill="auto"/>
            <w:vAlign w:val="center"/>
          </w:tcPr>
          <w:p w14:paraId="491D69FA" w14:textId="77777777" w:rsidR="000432E7" w:rsidRPr="001E2023" w:rsidRDefault="000432E7" w:rsidP="008E5598">
            <w:pPr>
              <w:spacing w:before="20" w:after="20"/>
              <w:jc w:val="right"/>
              <w:rPr>
                <w:noProof/>
                <w:sz w:val="20"/>
              </w:rPr>
            </w:pPr>
            <w:r w:rsidRPr="001E2023">
              <w:rPr>
                <w:noProof/>
                <w:sz w:val="20"/>
              </w:rPr>
              <w:t>0</w:t>
            </w:r>
          </w:p>
        </w:tc>
        <w:tc>
          <w:tcPr>
            <w:tcW w:w="922" w:type="dxa"/>
            <w:shd w:val="clear" w:color="auto" w:fill="auto"/>
            <w:vAlign w:val="center"/>
          </w:tcPr>
          <w:p w14:paraId="0877754A" w14:textId="77777777" w:rsidR="000432E7" w:rsidRPr="001E2023" w:rsidRDefault="000432E7" w:rsidP="008E5598">
            <w:pPr>
              <w:spacing w:before="20" w:after="20"/>
              <w:jc w:val="right"/>
              <w:rPr>
                <w:noProof/>
                <w:sz w:val="20"/>
              </w:rPr>
            </w:pPr>
            <w:r w:rsidRPr="001E2023">
              <w:rPr>
                <w:noProof/>
                <w:sz w:val="20"/>
              </w:rPr>
              <w:t>0,65</w:t>
            </w:r>
          </w:p>
        </w:tc>
        <w:tc>
          <w:tcPr>
            <w:tcW w:w="921" w:type="dxa"/>
            <w:shd w:val="clear" w:color="auto" w:fill="auto"/>
            <w:vAlign w:val="center"/>
          </w:tcPr>
          <w:p w14:paraId="69DB46B6" w14:textId="77777777" w:rsidR="000432E7" w:rsidRPr="001E2023" w:rsidRDefault="000432E7" w:rsidP="008E5598">
            <w:pPr>
              <w:spacing w:before="20" w:after="20"/>
              <w:jc w:val="right"/>
              <w:rPr>
                <w:noProof/>
                <w:sz w:val="20"/>
              </w:rPr>
            </w:pPr>
            <w:r w:rsidRPr="001E2023">
              <w:rPr>
                <w:noProof/>
                <w:sz w:val="20"/>
              </w:rPr>
              <w:t>0,35</w:t>
            </w:r>
          </w:p>
        </w:tc>
        <w:tc>
          <w:tcPr>
            <w:tcW w:w="1701" w:type="dxa"/>
          </w:tcPr>
          <w:p w14:paraId="1C34A21D" w14:textId="77777777" w:rsidR="000432E7" w:rsidRPr="001E2023" w:rsidRDefault="000432E7" w:rsidP="008E5598">
            <w:pPr>
              <w:spacing w:before="20" w:after="20"/>
              <w:jc w:val="right"/>
              <w:rPr>
                <w:bCs/>
                <w:noProof/>
                <w:sz w:val="20"/>
              </w:rPr>
            </w:pPr>
            <w:r w:rsidRPr="001E2023">
              <w:rPr>
                <w:noProof/>
                <w:sz w:val="20"/>
              </w:rPr>
              <w:t>3,3</w:t>
            </w:r>
          </w:p>
        </w:tc>
      </w:tr>
      <w:tr w:rsidR="000432E7" w:rsidRPr="001E2023" w14:paraId="552E3675" w14:textId="77777777" w:rsidTr="000432E7">
        <w:tc>
          <w:tcPr>
            <w:tcW w:w="3960" w:type="dxa"/>
            <w:vMerge/>
          </w:tcPr>
          <w:p w14:paraId="5AAE27D3" w14:textId="77777777" w:rsidR="000432E7" w:rsidRPr="001E2023" w:rsidRDefault="000432E7" w:rsidP="008E5598">
            <w:pPr>
              <w:rPr>
                <w:noProof/>
                <w:sz w:val="20"/>
              </w:rPr>
            </w:pPr>
          </w:p>
        </w:tc>
        <w:tc>
          <w:tcPr>
            <w:tcW w:w="1440" w:type="dxa"/>
            <w:vAlign w:val="center"/>
          </w:tcPr>
          <w:p w14:paraId="663AAFED" w14:textId="77777777" w:rsidR="000432E7" w:rsidRPr="001E2023" w:rsidRDefault="000432E7" w:rsidP="008E5598">
            <w:pPr>
              <w:rPr>
                <w:noProof/>
                <w:sz w:val="18"/>
              </w:rPr>
            </w:pPr>
            <w:r w:rsidRPr="001E2023">
              <w:rPr>
                <w:noProof/>
                <w:sz w:val="18"/>
              </w:rPr>
              <w:t>Platby</w:t>
            </w:r>
          </w:p>
        </w:tc>
        <w:tc>
          <w:tcPr>
            <w:tcW w:w="1056" w:type="dxa"/>
            <w:gridSpan w:val="2"/>
            <w:vAlign w:val="center"/>
          </w:tcPr>
          <w:p w14:paraId="747C14F9" w14:textId="77777777" w:rsidR="000432E7" w:rsidRPr="001E2023" w:rsidRDefault="000432E7" w:rsidP="008E5598">
            <w:pPr>
              <w:jc w:val="center"/>
              <w:rPr>
                <w:noProof/>
                <w:sz w:val="14"/>
              </w:rPr>
            </w:pPr>
            <w:r w:rsidRPr="001E2023">
              <w:rPr>
                <w:noProof/>
                <w:sz w:val="14"/>
              </w:rPr>
              <w:t>= 2a + 2b</w:t>
            </w:r>
          </w:p>
          <w:p w14:paraId="573D9AA7" w14:textId="77777777" w:rsidR="000432E7" w:rsidRPr="001E2023" w:rsidRDefault="000432E7" w:rsidP="008E5598">
            <w:pPr>
              <w:jc w:val="center"/>
              <w:rPr>
                <w:noProof/>
                <w:sz w:val="14"/>
              </w:rPr>
            </w:pPr>
            <w:r w:rsidRPr="001E2023">
              <w:rPr>
                <w:noProof/>
                <w:sz w:val="14"/>
              </w:rPr>
              <w:t>+3</w:t>
            </w:r>
          </w:p>
        </w:tc>
        <w:tc>
          <w:tcPr>
            <w:tcW w:w="921" w:type="dxa"/>
            <w:shd w:val="clear" w:color="auto" w:fill="auto"/>
            <w:vAlign w:val="center"/>
          </w:tcPr>
          <w:p w14:paraId="7162DECB" w14:textId="77777777" w:rsidR="000432E7" w:rsidRPr="001E2023" w:rsidRDefault="000432E7" w:rsidP="008E5598">
            <w:pPr>
              <w:spacing w:before="20" w:after="20"/>
              <w:jc w:val="right"/>
              <w:rPr>
                <w:noProof/>
                <w:sz w:val="20"/>
              </w:rPr>
            </w:pPr>
            <w:r w:rsidRPr="001E2023">
              <w:rPr>
                <w:noProof/>
                <w:sz w:val="20"/>
              </w:rPr>
              <w:t>0</w:t>
            </w:r>
          </w:p>
        </w:tc>
        <w:tc>
          <w:tcPr>
            <w:tcW w:w="921" w:type="dxa"/>
            <w:shd w:val="clear" w:color="auto" w:fill="auto"/>
            <w:vAlign w:val="center"/>
          </w:tcPr>
          <w:p w14:paraId="790A01B0" w14:textId="77777777" w:rsidR="000432E7" w:rsidRPr="001E2023" w:rsidRDefault="000432E7" w:rsidP="008E5598">
            <w:pPr>
              <w:spacing w:before="20" w:after="20"/>
              <w:jc w:val="right"/>
              <w:rPr>
                <w:noProof/>
                <w:sz w:val="20"/>
              </w:rPr>
            </w:pPr>
            <w:r w:rsidRPr="001E2023">
              <w:rPr>
                <w:noProof/>
                <w:sz w:val="20"/>
              </w:rPr>
              <w:t>2,3</w:t>
            </w:r>
          </w:p>
        </w:tc>
        <w:tc>
          <w:tcPr>
            <w:tcW w:w="922" w:type="dxa"/>
            <w:shd w:val="clear" w:color="auto" w:fill="auto"/>
            <w:vAlign w:val="center"/>
          </w:tcPr>
          <w:p w14:paraId="0FEFA52B" w14:textId="77777777" w:rsidR="000432E7" w:rsidRPr="001E2023" w:rsidRDefault="000432E7" w:rsidP="008E5598">
            <w:pPr>
              <w:spacing w:before="20" w:after="20"/>
              <w:jc w:val="right"/>
              <w:rPr>
                <w:noProof/>
                <w:sz w:val="20"/>
              </w:rPr>
            </w:pPr>
            <w:r w:rsidRPr="001E2023">
              <w:rPr>
                <w:noProof/>
                <w:sz w:val="20"/>
              </w:rPr>
              <w:t>0,65</w:t>
            </w:r>
          </w:p>
        </w:tc>
        <w:tc>
          <w:tcPr>
            <w:tcW w:w="921" w:type="dxa"/>
            <w:shd w:val="clear" w:color="auto" w:fill="auto"/>
            <w:vAlign w:val="center"/>
          </w:tcPr>
          <w:p w14:paraId="77A00935" w14:textId="77777777" w:rsidR="000432E7" w:rsidRPr="001E2023" w:rsidRDefault="000432E7" w:rsidP="008E5598">
            <w:pPr>
              <w:spacing w:before="20" w:after="20"/>
              <w:jc w:val="right"/>
              <w:rPr>
                <w:noProof/>
                <w:sz w:val="20"/>
              </w:rPr>
            </w:pPr>
            <w:r w:rsidRPr="001E2023">
              <w:rPr>
                <w:noProof/>
                <w:sz w:val="20"/>
              </w:rPr>
              <w:t>0,35</w:t>
            </w:r>
          </w:p>
        </w:tc>
        <w:tc>
          <w:tcPr>
            <w:tcW w:w="1701" w:type="dxa"/>
          </w:tcPr>
          <w:p w14:paraId="518E24FF" w14:textId="77777777" w:rsidR="000432E7" w:rsidRPr="001E2023" w:rsidRDefault="000432E7" w:rsidP="008E5598">
            <w:pPr>
              <w:spacing w:before="20" w:after="20"/>
              <w:jc w:val="right"/>
              <w:rPr>
                <w:noProof/>
                <w:sz w:val="20"/>
              </w:rPr>
            </w:pPr>
            <w:r w:rsidRPr="001E2023">
              <w:rPr>
                <w:noProof/>
                <w:sz w:val="20"/>
              </w:rPr>
              <w:t>3,3</w:t>
            </w:r>
          </w:p>
        </w:tc>
      </w:tr>
    </w:tbl>
    <w:p w14:paraId="68EC0EF4" w14:textId="77777777" w:rsidR="00EF7953" w:rsidRPr="001E2023" w:rsidRDefault="00EF7953" w:rsidP="008E559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F7953" w:rsidRPr="001E2023" w14:paraId="40A80B92" w14:textId="77777777">
        <w:trPr>
          <w:jc w:val="center"/>
        </w:trPr>
        <w:tc>
          <w:tcPr>
            <w:tcW w:w="4744" w:type="dxa"/>
            <w:shd w:val="thinDiagStripe" w:color="C0C0C0" w:fill="auto"/>
            <w:vAlign w:val="center"/>
          </w:tcPr>
          <w:p w14:paraId="4306886C" w14:textId="77777777" w:rsidR="00EF7953" w:rsidRPr="001E2023" w:rsidRDefault="00EF7953">
            <w:pPr>
              <w:spacing w:before="60" w:after="60"/>
              <w:jc w:val="center"/>
              <w:rPr>
                <w:b/>
                <w:noProof/>
              </w:rPr>
            </w:pPr>
            <w:r w:rsidRPr="001E2023">
              <w:rPr>
                <w:noProof/>
              </w:rPr>
              <w:br w:type="page"/>
            </w:r>
            <w:r w:rsidRPr="001E2023">
              <w:rPr>
                <w:noProof/>
              </w:rPr>
              <w:br w:type="page"/>
            </w:r>
            <w:r w:rsidRPr="001E2023">
              <w:rPr>
                <w:b/>
                <w:noProof/>
                <w:sz w:val="22"/>
              </w:rPr>
              <w:t xml:space="preserve">Okruh viacročného finančného </w:t>
            </w:r>
            <w:r w:rsidRPr="001E2023">
              <w:rPr>
                <w:noProof/>
                <w:sz w:val="22"/>
              </w:rPr>
              <w:br/>
            </w:r>
            <w:r w:rsidRPr="001E2023">
              <w:rPr>
                <w:b/>
                <w:noProof/>
                <w:sz w:val="22"/>
              </w:rPr>
              <w:t xml:space="preserve">rámca </w:t>
            </w:r>
          </w:p>
        </w:tc>
        <w:tc>
          <w:tcPr>
            <w:tcW w:w="1080" w:type="dxa"/>
            <w:shd w:val="thinDiagStripe" w:color="C0C0C0" w:fill="auto"/>
            <w:vAlign w:val="center"/>
          </w:tcPr>
          <w:p w14:paraId="6CAC72A5" w14:textId="77777777" w:rsidR="00EF7953" w:rsidRPr="001E2023" w:rsidRDefault="00EF7953">
            <w:pPr>
              <w:spacing w:before="60" w:after="60"/>
              <w:jc w:val="center"/>
              <w:rPr>
                <w:noProof/>
              </w:rPr>
            </w:pPr>
            <w:r w:rsidRPr="001E2023">
              <w:rPr>
                <w:b/>
                <w:noProof/>
                <w:sz w:val="22"/>
              </w:rPr>
              <w:t>7</w:t>
            </w:r>
          </w:p>
        </w:tc>
        <w:tc>
          <w:tcPr>
            <w:tcW w:w="7817" w:type="dxa"/>
            <w:vAlign w:val="center"/>
          </w:tcPr>
          <w:p w14:paraId="2EB714DC" w14:textId="77777777" w:rsidR="00EF7953" w:rsidRPr="001E2023" w:rsidRDefault="00EF7953">
            <w:pPr>
              <w:spacing w:before="60" w:after="60"/>
              <w:rPr>
                <w:noProof/>
              </w:rPr>
            </w:pPr>
            <w:r w:rsidRPr="001E2023">
              <w:rPr>
                <w:noProof/>
                <w:sz w:val="22"/>
              </w:rPr>
              <w:t>„Administratívne výdavky“</w:t>
            </w:r>
          </w:p>
        </w:tc>
      </w:tr>
    </w:tbl>
    <w:p w14:paraId="09D0BD1B" w14:textId="77777777" w:rsidR="00EF7953" w:rsidRPr="001E2023" w:rsidRDefault="00EF7953">
      <w:pPr>
        <w:jc w:val="left"/>
        <w:rPr>
          <w:noProof/>
          <w:sz w:val="20"/>
        </w:rPr>
      </w:pPr>
      <w:r w:rsidRPr="001E2023">
        <w:rPr>
          <w:noProof/>
        </w:rPr>
        <w:t>Tento oddiel treba vyplniť</w:t>
      </w:r>
      <w:r w:rsidR="001E2023">
        <w:rPr>
          <w:noProof/>
        </w:rPr>
        <w:t xml:space="preserve"> s </w:t>
      </w:r>
      <w:r w:rsidRPr="001E2023">
        <w:rPr>
          <w:noProof/>
        </w:rPr>
        <w:t>použitím rozpočtových údajov administratívnej povahy, ktoré sa najprv uvedú</w:t>
      </w:r>
      <w:r w:rsidR="001E2023">
        <w:rPr>
          <w:noProof/>
        </w:rPr>
        <w:t xml:space="preserve"> v </w:t>
      </w:r>
      <w:hyperlink r:id="rId19" w:history="1">
        <w:r w:rsidRPr="001E2023">
          <w:rPr>
            <w:rStyle w:val="Hypertextovprepojenie"/>
            <w:noProof/>
          </w:rPr>
          <w:t>prílohe</w:t>
        </w:r>
        <w:r w:rsidR="001E2023">
          <w:rPr>
            <w:rStyle w:val="Hypertextovprepojenie"/>
            <w:noProof/>
          </w:rPr>
          <w:t xml:space="preserve"> k </w:t>
        </w:r>
        <w:r w:rsidRPr="001E2023">
          <w:rPr>
            <w:rStyle w:val="Hypertextovprepojenie"/>
            <w:noProof/>
          </w:rPr>
          <w:t>legislatívnemu finančnému výkazu</w:t>
        </w:r>
      </w:hyperlink>
      <w:r w:rsidRPr="001E2023">
        <w:rPr>
          <w:noProof/>
        </w:rPr>
        <w:t xml:space="preserve"> (príloha 5</w:t>
      </w:r>
      <w:r w:rsidR="001E2023">
        <w:rPr>
          <w:noProof/>
        </w:rPr>
        <w:t xml:space="preserve"> k </w:t>
      </w:r>
      <w:r w:rsidRPr="001E2023">
        <w:rPr>
          <w:noProof/>
        </w:rPr>
        <w:t>rozhodnutiu Komisie</w:t>
      </w:r>
      <w:r w:rsidR="001E2023">
        <w:rPr>
          <w:noProof/>
        </w:rPr>
        <w:t xml:space="preserve"> o </w:t>
      </w:r>
      <w:r w:rsidRPr="001E2023">
        <w:rPr>
          <w:noProof/>
        </w:rPr>
        <w:t>interných pravidlách plnenia oddielu všeobecného rozpočtu Európskej únie týkajúceho sa Komisie), ktorá sa na účely medziútvarovej konzultácie nahrá do aplikácie DECIDE.</w:t>
      </w:r>
    </w:p>
    <w:p w14:paraId="27F358DA" w14:textId="77777777" w:rsidR="00EF7953" w:rsidRPr="001E2023" w:rsidRDefault="00EF7953">
      <w:pPr>
        <w:jc w:val="right"/>
        <w:rPr>
          <w:noProof/>
          <w:sz w:val="20"/>
        </w:rPr>
      </w:pPr>
      <w:r w:rsidRPr="001E2023">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936"/>
        <w:gridCol w:w="992"/>
        <w:gridCol w:w="850"/>
        <w:gridCol w:w="991"/>
        <w:gridCol w:w="852"/>
        <w:gridCol w:w="1985"/>
      </w:tblGrid>
      <w:tr w:rsidR="00503273" w:rsidRPr="001E2023" w14:paraId="47243551" w14:textId="77777777" w:rsidTr="00655A48">
        <w:tc>
          <w:tcPr>
            <w:tcW w:w="3960" w:type="dxa"/>
            <w:tcBorders>
              <w:top w:val="nil"/>
              <w:left w:val="nil"/>
              <w:right w:val="nil"/>
            </w:tcBorders>
            <w:vAlign w:val="center"/>
          </w:tcPr>
          <w:p w14:paraId="3DA464D5" w14:textId="77777777" w:rsidR="00503273" w:rsidRPr="001E2023" w:rsidRDefault="00503273">
            <w:pPr>
              <w:jc w:val="center"/>
              <w:rPr>
                <w:noProof/>
              </w:rPr>
            </w:pPr>
          </w:p>
        </w:tc>
        <w:tc>
          <w:tcPr>
            <w:tcW w:w="1560" w:type="dxa"/>
            <w:tcBorders>
              <w:top w:val="nil"/>
              <w:left w:val="nil"/>
              <w:right w:val="nil"/>
            </w:tcBorders>
          </w:tcPr>
          <w:p w14:paraId="66BD1DB6" w14:textId="77777777" w:rsidR="00503273" w:rsidRPr="001E2023" w:rsidRDefault="00503273">
            <w:pPr>
              <w:rPr>
                <w:noProof/>
                <w:sz w:val="20"/>
              </w:rPr>
            </w:pPr>
          </w:p>
        </w:tc>
        <w:tc>
          <w:tcPr>
            <w:tcW w:w="936" w:type="dxa"/>
            <w:tcBorders>
              <w:top w:val="nil"/>
              <w:left w:val="nil"/>
            </w:tcBorders>
          </w:tcPr>
          <w:p w14:paraId="0029C343" w14:textId="77777777" w:rsidR="00503273" w:rsidRPr="001E2023" w:rsidRDefault="00503273">
            <w:pPr>
              <w:jc w:val="center"/>
              <w:rPr>
                <w:noProof/>
                <w:sz w:val="20"/>
              </w:rPr>
            </w:pPr>
          </w:p>
        </w:tc>
        <w:tc>
          <w:tcPr>
            <w:tcW w:w="992" w:type="dxa"/>
            <w:vAlign w:val="center"/>
          </w:tcPr>
          <w:p w14:paraId="5D348348" w14:textId="77777777" w:rsidR="00503273" w:rsidRPr="001E2023" w:rsidRDefault="00503273" w:rsidP="009D291C">
            <w:pPr>
              <w:jc w:val="center"/>
              <w:rPr>
                <w:b/>
                <w:bCs/>
                <w:noProof/>
                <w:sz w:val="22"/>
              </w:rPr>
            </w:pPr>
            <w:r w:rsidRPr="001E2023">
              <w:rPr>
                <w:b/>
                <w:noProof/>
                <w:sz w:val="22"/>
              </w:rPr>
              <w:t>Rok 2024</w:t>
            </w:r>
          </w:p>
        </w:tc>
        <w:tc>
          <w:tcPr>
            <w:tcW w:w="850" w:type="dxa"/>
            <w:vAlign w:val="center"/>
          </w:tcPr>
          <w:p w14:paraId="429D45DD" w14:textId="77777777" w:rsidR="00503273" w:rsidRPr="001E2023" w:rsidRDefault="00503273">
            <w:pPr>
              <w:jc w:val="center"/>
              <w:rPr>
                <w:b/>
                <w:bCs/>
                <w:noProof/>
                <w:sz w:val="22"/>
              </w:rPr>
            </w:pPr>
            <w:r w:rsidRPr="001E2023">
              <w:rPr>
                <w:b/>
                <w:noProof/>
                <w:sz w:val="22"/>
              </w:rPr>
              <w:t>Rok</w:t>
            </w:r>
            <w:r w:rsidRPr="001E2023">
              <w:rPr>
                <w:b/>
                <w:noProof/>
                <w:sz w:val="22"/>
              </w:rPr>
              <w:br/>
              <w:t>2025</w:t>
            </w:r>
          </w:p>
        </w:tc>
        <w:tc>
          <w:tcPr>
            <w:tcW w:w="991" w:type="dxa"/>
            <w:vAlign w:val="center"/>
          </w:tcPr>
          <w:p w14:paraId="268DF5F2" w14:textId="77777777" w:rsidR="00503273" w:rsidRPr="001E2023" w:rsidRDefault="00503273">
            <w:pPr>
              <w:jc w:val="center"/>
              <w:rPr>
                <w:b/>
                <w:bCs/>
                <w:noProof/>
                <w:sz w:val="22"/>
              </w:rPr>
            </w:pPr>
            <w:r w:rsidRPr="001E2023">
              <w:rPr>
                <w:b/>
                <w:noProof/>
                <w:sz w:val="22"/>
              </w:rPr>
              <w:t>Rok</w:t>
            </w:r>
            <w:r w:rsidRPr="001E2023">
              <w:rPr>
                <w:b/>
                <w:noProof/>
                <w:sz w:val="22"/>
              </w:rPr>
              <w:br/>
              <w:t>2026</w:t>
            </w:r>
          </w:p>
        </w:tc>
        <w:tc>
          <w:tcPr>
            <w:tcW w:w="852" w:type="dxa"/>
            <w:vAlign w:val="center"/>
          </w:tcPr>
          <w:p w14:paraId="2F210368" w14:textId="77777777" w:rsidR="00503273" w:rsidRPr="001E2023" w:rsidRDefault="00503273">
            <w:pPr>
              <w:jc w:val="center"/>
              <w:rPr>
                <w:b/>
                <w:bCs/>
                <w:noProof/>
                <w:sz w:val="22"/>
              </w:rPr>
            </w:pPr>
            <w:r w:rsidRPr="001E2023">
              <w:rPr>
                <w:b/>
                <w:noProof/>
                <w:sz w:val="22"/>
              </w:rPr>
              <w:t>Rok</w:t>
            </w:r>
            <w:r w:rsidRPr="001E2023">
              <w:rPr>
                <w:b/>
                <w:noProof/>
                <w:sz w:val="22"/>
              </w:rPr>
              <w:br/>
              <w:t>2027</w:t>
            </w:r>
          </w:p>
        </w:tc>
        <w:tc>
          <w:tcPr>
            <w:tcW w:w="1985" w:type="dxa"/>
            <w:vAlign w:val="center"/>
          </w:tcPr>
          <w:p w14:paraId="208C72FE" w14:textId="77777777" w:rsidR="00503273" w:rsidRPr="001E2023" w:rsidRDefault="00503273">
            <w:pPr>
              <w:jc w:val="center"/>
              <w:rPr>
                <w:b/>
                <w:bCs/>
                <w:noProof/>
                <w:sz w:val="22"/>
              </w:rPr>
            </w:pPr>
            <w:r w:rsidRPr="001E2023">
              <w:rPr>
                <w:b/>
                <w:noProof/>
                <w:sz w:val="22"/>
              </w:rPr>
              <w:t>SPOLU</w:t>
            </w:r>
          </w:p>
        </w:tc>
      </w:tr>
      <w:tr w:rsidR="00503273" w:rsidRPr="001E2023" w14:paraId="7FFBC4D3" w14:textId="77777777" w:rsidTr="00655A48">
        <w:trPr>
          <w:gridAfter w:val="6"/>
          <w:wAfter w:w="6606" w:type="dxa"/>
        </w:trPr>
        <w:tc>
          <w:tcPr>
            <w:tcW w:w="3960" w:type="dxa"/>
            <w:vAlign w:val="center"/>
          </w:tcPr>
          <w:p w14:paraId="531E435C" w14:textId="77777777" w:rsidR="00503273" w:rsidRPr="001E2023" w:rsidRDefault="00503273">
            <w:pPr>
              <w:spacing w:before="60" w:after="60"/>
              <w:jc w:val="center"/>
              <w:rPr>
                <w:noProof/>
              </w:rPr>
            </w:pPr>
            <w:r w:rsidRPr="001E2023">
              <w:rPr>
                <w:noProof/>
                <w:sz w:val="22"/>
              </w:rPr>
              <w:t>GR: TAXUD</w:t>
            </w:r>
          </w:p>
        </w:tc>
        <w:tc>
          <w:tcPr>
            <w:tcW w:w="1560" w:type="dxa"/>
          </w:tcPr>
          <w:p w14:paraId="4B0AFF95" w14:textId="77777777" w:rsidR="00503273" w:rsidRPr="001E2023" w:rsidRDefault="00503273">
            <w:pPr>
              <w:spacing w:before="60" w:after="60"/>
              <w:jc w:val="center"/>
              <w:rPr>
                <w:noProof/>
                <w:sz w:val="22"/>
              </w:rPr>
            </w:pPr>
          </w:p>
        </w:tc>
      </w:tr>
      <w:tr w:rsidR="00503273" w:rsidRPr="001E2023" w14:paraId="49CA4393" w14:textId="77777777" w:rsidTr="00655A48">
        <w:trPr>
          <w:trHeight w:val="313"/>
        </w:trPr>
        <w:tc>
          <w:tcPr>
            <w:tcW w:w="6456" w:type="dxa"/>
            <w:gridSpan w:val="3"/>
            <w:vAlign w:val="center"/>
          </w:tcPr>
          <w:p w14:paraId="78BAE0B7" w14:textId="77777777" w:rsidR="00503273" w:rsidRPr="001E2023" w:rsidRDefault="00503273">
            <w:pPr>
              <w:spacing w:before="20" w:after="20"/>
              <w:rPr>
                <w:noProof/>
              </w:rPr>
            </w:pPr>
            <w:r w:rsidRPr="001E2023">
              <w:rPr>
                <w:rFonts w:ascii="Wingdings" w:hAnsi="Wingdings"/>
                <w:noProof/>
                <w:sz w:val="22"/>
              </w:rPr>
              <w:t>□</w:t>
            </w:r>
            <w:r w:rsidRPr="001E2023">
              <w:rPr>
                <w:noProof/>
                <w:sz w:val="22"/>
              </w:rPr>
              <w:t xml:space="preserve"> </w:t>
            </w:r>
            <w:r w:rsidRPr="001E2023">
              <w:rPr>
                <w:noProof/>
              </w:rPr>
              <w:t>Ľudské zdroje</w:t>
            </w:r>
            <w:r w:rsidRPr="001E2023">
              <w:rPr>
                <w:noProof/>
                <w:sz w:val="22"/>
              </w:rPr>
              <w:t xml:space="preserve"> </w:t>
            </w:r>
          </w:p>
        </w:tc>
        <w:tc>
          <w:tcPr>
            <w:tcW w:w="992" w:type="dxa"/>
            <w:vAlign w:val="center"/>
          </w:tcPr>
          <w:p w14:paraId="344BB54E" w14:textId="77777777" w:rsidR="00503273" w:rsidRPr="001E2023" w:rsidRDefault="00C21B27" w:rsidP="00655A48">
            <w:pPr>
              <w:spacing w:before="20" w:after="20"/>
              <w:jc w:val="right"/>
              <w:rPr>
                <w:noProof/>
                <w:sz w:val="20"/>
              </w:rPr>
            </w:pPr>
            <w:r w:rsidRPr="001E2023">
              <w:rPr>
                <w:noProof/>
                <w:sz w:val="20"/>
              </w:rPr>
              <w:t>0,712</w:t>
            </w:r>
          </w:p>
        </w:tc>
        <w:tc>
          <w:tcPr>
            <w:tcW w:w="850" w:type="dxa"/>
            <w:vAlign w:val="center"/>
          </w:tcPr>
          <w:p w14:paraId="57774FAB" w14:textId="77777777" w:rsidR="00503273" w:rsidRPr="001E2023" w:rsidRDefault="00C21B27" w:rsidP="00655A48">
            <w:pPr>
              <w:spacing w:before="20" w:after="20"/>
              <w:jc w:val="right"/>
              <w:rPr>
                <w:noProof/>
                <w:sz w:val="20"/>
              </w:rPr>
            </w:pPr>
            <w:r w:rsidRPr="001E2023">
              <w:rPr>
                <w:noProof/>
                <w:sz w:val="20"/>
              </w:rPr>
              <w:t>0,712</w:t>
            </w:r>
          </w:p>
        </w:tc>
        <w:tc>
          <w:tcPr>
            <w:tcW w:w="991" w:type="dxa"/>
            <w:vAlign w:val="center"/>
          </w:tcPr>
          <w:p w14:paraId="17384743" w14:textId="77777777" w:rsidR="00503273" w:rsidRPr="001E2023" w:rsidRDefault="00C21B27" w:rsidP="00655A48">
            <w:pPr>
              <w:spacing w:before="20" w:after="20"/>
              <w:jc w:val="right"/>
              <w:rPr>
                <w:noProof/>
                <w:sz w:val="20"/>
              </w:rPr>
            </w:pPr>
            <w:r w:rsidRPr="001E2023">
              <w:rPr>
                <w:noProof/>
                <w:sz w:val="20"/>
              </w:rPr>
              <w:t>0,534</w:t>
            </w:r>
          </w:p>
        </w:tc>
        <w:tc>
          <w:tcPr>
            <w:tcW w:w="852" w:type="dxa"/>
            <w:vAlign w:val="center"/>
          </w:tcPr>
          <w:p w14:paraId="65129DA5" w14:textId="77777777" w:rsidR="00503273" w:rsidRPr="001E2023" w:rsidRDefault="004A5220" w:rsidP="00655A48">
            <w:pPr>
              <w:spacing w:before="20" w:after="20"/>
              <w:jc w:val="right"/>
              <w:rPr>
                <w:noProof/>
                <w:sz w:val="20"/>
              </w:rPr>
            </w:pPr>
            <w:r w:rsidRPr="001E2023">
              <w:rPr>
                <w:noProof/>
                <w:sz w:val="20"/>
              </w:rPr>
              <w:t>0,534</w:t>
            </w:r>
          </w:p>
        </w:tc>
        <w:tc>
          <w:tcPr>
            <w:tcW w:w="1985" w:type="dxa"/>
            <w:vAlign w:val="center"/>
          </w:tcPr>
          <w:p w14:paraId="1636A7A6" w14:textId="77777777" w:rsidR="00503273" w:rsidRPr="001E2023" w:rsidRDefault="00D525A6">
            <w:pPr>
              <w:spacing w:before="20" w:after="20"/>
              <w:jc w:val="right"/>
              <w:rPr>
                <w:b/>
                <w:noProof/>
                <w:sz w:val="20"/>
              </w:rPr>
            </w:pPr>
            <w:r w:rsidRPr="001E2023">
              <w:rPr>
                <w:b/>
                <w:noProof/>
                <w:sz w:val="20"/>
              </w:rPr>
              <w:t>2,492</w:t>
            </w:r>
          </w:p>
        </w:tc>
      </w:tr>
      <w:tr w:rsidR="00503273" w:rsidRPr="001E2023" w14:paraId="07731E43" w14:textId="77777777" w:rsidTr="00655A48">
        <w:trPr>
          <w:trHeight w:val="351"/>
        </w:trPr>
        <w:tc>
          <w:tcPr>
            <w:tcW w:w="6456" w:type="dxa"/>
            <w:gridSpan w:val="3"/>
            <w:vAlign w:val="center"/>
          </w:tcPr>
          <w:p w14:paraId="6F8F480C" w14:textId="77777777" w:rsidR="00503273" w:rsidRPr="001E2023" w:rsidRDefault="00503273">
            <w:pPr>
              <w:spacing w:before="20" w:after="20"/>
              <w:rPr>
                <w:noProof/>
              </w:rPr>
            </w:pPr>
            <w:r w:rsidRPr="001E2023">
              <w:rPr>
                <w:rFonts w:ascii="Wingdings" w:hAnsi="Wingdings"/>
                <w:noProof/>
                <w:sz w:val="22"/>
              </w:rPr>
              <w:t>□</w:t>
            </w:r>
            <w:r w:rsidRPr="001E2023">
              <w:rPr>
                <w:noProof/>
                <w:sz w:val="22"/>
              </w:rPr>
              <w:t xml:space="preserve"> </w:t>
            </w:r>
            <w:r w:rsidRPr="001E2023">
              <w:rPr>
                <w:noProof/>
              </w:rPr>
              <w:t>Ostatné administratívne výdavky</w:t>
            </w:r>
            <w:r w:rsidRPr="001E2023">
              <w:rPr>
                <w:noProof/>
                <w:sz w:val="22"/>
              </w:rPr>
              <w:t xml:space="preserve"> </w:t>
            </w:r>
          </w:p>
        </w:tc>
        <w:tc>
          <w:tcPr>
            <w:tcW w:w="992" w:type="dxa"/>
            <w:vAlign w:val="center"/>
          </w:tcPr>
          <w:p w14:paraId="66CBF8E8" w14:textId="77777777" w:rsidR="00503273" w:rsidRPr="001E2023" w:rsidRDefault="00503273" w:rsidP="00655A48">
            <w:pPr>
              <w:spacing w:before="20" w:after="20"/>
              <w:jc w:val="right"/>
              <w:rPr>
                <w:noProof/>
                <w:sz w:val="20"/>
              </w:rPr>
            </w:pPr>
            <w:r w:rsidRPr="001E2023">
              <w:rPr>
                <w:noProof/>
                <w:sz w:val="20"/>
              </w:rPr>
              <w:t>0,005</w:t>
            </w:r>
          </w:p>
        </w:tc>
        <w:tc>
          <w:tcPr>
            <w:tcW w:w="850" w:type="dxa"/>
            <w:vAlign w:val="center"/>
          </w:tcPr>
          <w:p w14:paraId="3A18C28F" w14:textId="77777777" w:rsidR="00503273" w:rsidRPr="001E2023" w:rsidRDefault="00503273" w:rsidP="00655A48">
            <w:pPr>
              <w:spacing w:before="20" w:after="20"/>
              <w:jc w:val="right"/>
              <w:rPr>
                <w:noProof/>
                <w:sz w:val="20"/>
              </w:rPr>
            </w:pPr>
            <w:r w:rsidRPr="001E2023">
              <w:rPr>
                <w:noProof/>
                <w:sz w:val="20"/>
              </w:rPr>
              <w:t>0,005</w:t>
            </w:r>
          </w:p>
        </w:tc>
        <w:tc>
          <w:tcPr>
            <w:tcW w:w="991" w:type="dxa"/>
            <w:vAlign w:val="center"/>
          </w:tcPr>
          <w:p w14:paraId="62ECBF77" w14:textId="77777777" w:rsidR="00503273" w:rsidRPr="001E2023" w:rsidRDefault="00503273" w:rsidP="00655A48">
            <w:pPr>
              <w:spacing w:before="20" w:after="20"/>
              <w:jc w:val="right"/>
              <w:rPr>
                <w:noProof/>
                <w:sz w:val="20"/>
              </w:rPr>
            </w:pPr>
            <w:r w:rsidRPr="001E2023">
              <w:rPr>
                <w:noProof/>
                <w:sz w:val="20"/>
              </w:rPr>
              <w:t>0,003</w:t>
            </w:r>
          </w:p>
        </w:tc>
        <w:tc>
          <w:tcPr>
            <w:tcW w:w="852" w:type="dxa"/>
            <w:vAlign w:val="center"/>
          </w:tcPr>
          <w:p w14:paraId="2F7A1811" w14:textId="77777777" w:rsidR="00503273" w:rsidRPr="001E2023" w:rsidRDefault="00503273" w:rsidP="00655A48">
            <w:pPr>
              <w:spacing w:before="20" w:after="20"/>
              <w:jc w:val="right"/>
              <w:rPr>
                <w:noProof/>
                <w:sz w:val="20"/>
              </w:rPr>
            </w:pPr>
            <w:r w:rsidRPr="001E2023">
              <w:rPr>
                <w:noProof/>
                <w:sz w:val="20"/>
              </w:rPr>
              <w:t>0,002</w:t>
            </w:r>
          </w:p>
        </w:tc>
        <w:tc>
          <w:tcPr>
            <w:tcW w:w="1985" w:type="dxa"/>
            <w:vAlign w:val="center"/>
          </w:tcPr>
          <w:p w14:paraId="79FA03DD" w14:textId="77777777" w:rsidR="00503273" w:rsidRPr="001E2023" w:rsidRDefault="00503273">
            <w:pPr>
              <w:spacing w:before="20" w:after="20"/>
              <w:jc w:val="right"/>
              <w:rPr>
                <w:b/>
                <w:noProof/>
                <w:sz w:val="20"/>
              </w:rPr>
            </w:pPr>
            <w:r w:rsidRPr="001E2023">
              <w:rPr>
                <w:b/>
                <w:noProof/>
                <w:sz w:val="20"/>
              </w:rPr>
              <w:t>0,015</w:t>
            </w:r>
          </w:p>
        </w:tc>
      </w:tr>
      <w:tr w:rsidR="00503273" w:rsidRPr="001E2023" w14:paraId="58A747A2" w14:textId="77777777" w:rsidTr="00655A48">
        <w:tc>
          <w:tcPr>
            <w:tcW w:w="3960" w:type="dxa"/>
            <w:vAlign w:val="center"/>
          </w:tcPr>
          <w:p w14:paraId="665CB63F" w14:textId="77777777" w:rsidR="00503273" w:rsidRPr="001E2023" w:rsidRDefault="00503273">
            <w:pPr>
              <w:jc w:val="center"/>
              <w:rPr>
                <w:b/>
                <w:noProof/>
              </w:rPr>
            </w:pPr>
            <w:r w:rsidRPr="001E2023">
              <w:rPr>
                <w:b/>
                <w:bCs/>
                <w:noProof/>
                <w:sz w:val="22"/>
              </w:rPr>
              <w:t>GR</w:t>
            </w:r>
            <w:r w:rsidRPr="001E2023">
              <w:rPr>
                <w:noProof/>
                <w:sz w:val="22"/>
              </w:rPr>
              <w:t xml:space="preserve"> TAXUD </w:t>
            </w:r>
            <w:r w:rsidRPr="001E2023">
              <w:rPr>
                <w:b/>
                <w:bCs/>
                <w:noProof/>
                <w:sz w:val="22"/>
              </w:rPr>
              <w:t>SPOLU</w:t>
            </w:r>
          </w:p>
        </w:tc>
        <w:tc>
          <w:tcPr>
            <w:tcW w:w="2496" w:type="dxa"/>
            <w:gridSpan w:val="2"/>
            <w:vAlign w:val="center"/>
          </w:tcPr>
          <w:p w14:paraId="0DC87AC9" w14:textId="77777777" w:rsidR="00503273" w:rsidRPr="001E2023" w:rsidRDefault="00503273">
            <w:pPr>
              <w:rPr>
                <w:noProof/>
                <w:sz w:val="14"/>
              </w:rPr>
            </w:pPr>
            <w:r w:rsidRPr="001E2023">
              <w:rPr>
                <w:noProof/>
                <w:sz w:val="18"/>
              </w:rPr>
              <w:t xml:space="preserve">Rozpočtové prostriedky </w:t>
            </w:r>
          </w:p>
        </w:tc>
        <w:tc>
          <w:tcPr>
            <w:tcW w:w="992" w:type="dxa"/>
            <w:vAlign w:val="center"/>
          </w:tcPr>
          <w:p w14:paraId="5F1B3A13" w14:textId="77777777" w:rsidR="00503273" w:rsidRPr="001E2023" w:rsidRDefault="00503273" w:rsidP="00655A48">
            <w:pPr>
              <w:spacing w:before="60" w:after="60"/>
              <w:jc w:val="right"/>
              <w:rPr>
                <w:noProof/>
                <w:sz w:val="20"/>
              </w:rPr>
            </w:pPr>
            <w:r w:rsidRPr="001E2023">
              <w:rPr>
                <w:noProof/>
                <w:sz w:val="20"/>
              </w:rPr>
              <w:t>0,717</w:t>
            </w:r>
          </w:p>
        </w:tc>
        <w:tc>
          <w:tcPr>
            <w:tcW w:w="850" w:type="dxa"/>
            <w:vAlign w:val="center"/>
          </w:tcPr>
          <w:p w14:paraId="328FC890" w14:textId="77777777" w:rsidR="00503273" w:rsidRPr="001E2023" w:rsidRDefault="00503273" w:rsidP="00655A48">
            <w:pPr>
              <w:spacing w:before="20" w:after="20"/>
              <w:jc w:val="right"/>
              <w:rPr>
                <w:noProof/>
                <w:sz w:val="20"/>
              </w:rPr>
            </w:pPr>
            <w:r w:rsidRPr="001E2023">
              <w:rPr>
                <w:noProof/>
                <w:sz w:val="20"/>
              </w:rPr>
              <w:t>0,717</w:t>
            </w:r>
          </w:p>
        </w:tc>
        <w:tc>
          <w:tcPr>
            <w:tcW w:w="991" w:type="dxa"/>
            <w:vAlign w:val="center"/>
          </w:tcPr>
          <w:p w14:paraId="510E1819" w14:textId="77777777" w:rsidR="00503273" w:rsidRPr="001E2023" w:rsidRDefault="00503273" w:rsidP="00655A48">
            <w:pPr>
              <w:spacing w:before="20" w:after="20"/>
              <w:jc w:val="right"/>
              <w:rPr>
                <w:noProof/>
                <w:sz w:val="20"/>
              </w:rPr>
            </w:pPr>
            <w:r w:rsidRPr="001E2023">
              <w:rPr>
                <w:noProof/>
                <w:sz w:val="20"/>
              </w:rPr>
              <w:t>0,537</w:t>
            </w:r>
          </w:p>
        </w:tc>
        <w:tc>
          <w:tcPr>
            <w:tcW w:w="852" w:type="dxa"/>
            <w:vAlign w:val="center"/>
          </w:tcPr>
          <w:p w14:paraId="24BF647B" w14:textId="77777777" w:rsidR="00503273" w:rsidRPr="001E2023" w:rsidRDefault="00503273" w:rsidP="00655A48">
            <w:pPr>
              <w:spacing w:before="20" w:after="20"/>
              <w:jc w:val="right"/>
              <w:rPr>
                <w:noProof/>
                <w:sz w:val="20"/>
              </w:rPr>
            </w:pPr>
            <w:r w:rsidRPr="001E2023">
              <w:rPr>
                <w:noProof/>
                <w:sz w:val="20"/>
              </w:rPr>
              <w:t>0,536</w:t>
            </w:r>
          </w:p>
        </w:tc>
        <w:tc>
          <w:tcPr>
            <w:tcW w:w="1985" w:type="dxa"/>
            <w:vAlign w:val="center"/>
          </w:tcPr>
          <w:p w14:paraId="5D7E7DA7" w14:textId="77777777" w:rsidR="00503273" w:rsidRPr="001E2023" w:rsidRDefault="00277AA1" w:rsidP="00277AA1">
            <w:pPr>
              <w:spacing w:before="20" w:after="20"/>
              <w:jc w:val="right"/>
              <w:rPr>
                <w:b/>
                <w:noProof/>
                <w:sz w:val="20"/>
              </w:rPr>
            </w:pPr>
            <w:r w:rsidRPr="001E2023">
              <w:rPr>
                <w:b/>
                <w:noProof/>
                <w:sz w:val="20"/>
              </w:rPr>
              <w:t>2,507</w:t>
            </w:r>
          </w:p>
        </w:tc>
      </w:tr>
    </w:tbl>
    <w:p w14:paraId="2473F522" w14:textId="77777777" w:rsidR="00EF7953" w:rsidRPr="001E2023" w:rsidRDefault="00EF7953">
      <w:pPr>
        <w:jc w:val="right"/>
        <w:rPr>
          <w:noProof/>
          <w:sz w:val="20"/>
        </w:rPr>
      </w:pPr>
      <w:r w:rsidRPr="001E2023">
        <w:rPr>
          <w:noProof/>
          <w:sz w:val="20"/>
        </w:rPr>
        <w:t>v mil. EUR (zaokrúhlené na 3 desatinné miesta)</w:t>
      </w:r>
    </w:p>
    <w:p w14:paraId="0F8FE6AE" w14:textId="77777777" w:rsidR="001E2023" w:rsidRPr="001E2023" w:rsidRDefault="00EF7953">
      <w:pPr>
        <w:pStyle w:val="ManualHeading3"/>
        <w:rPr>
          <w:noProof/>
        </w:rPr>
      </w:pPr>
      <w:bookmarkStart w:id="60" w:name="_Toc514938054"/>
      <w:bookmarkStart w:id="61" w:name="_Toc520485053"/>
      <w:r w:rsidRPr="001E2023">
        <w:rPr>
          <w:noProof/>
        </w:rPr>
        <w:t>3.2.2.</w:t>
      </w:r>
      <w:r w:rsidRPr="001E2023">
        <w:rPr>
          <w:noProof/>
        </w:rPr>
        <w:tab/>
        <w:t>Odhadované výstupy financované</w:t>
      </w:r>
      <w:r w:rsidR="001E2023">
        <w:rPr>
          <w:noProof/>
        </w:rPr>
        <w:t xml:space="preserve"> z </w:t>
      </w:r>
      <w:r w:rsidRPr="001E2023">
        <w:rPr>
          <w:noProof/>
        </w:rPr>
        <w:t>operačných rozpočtových prostriedkov</w:t>
      </w:r>
      <w:bookmarkEnd w:id="60"/>
      <w:bookmarkEnd w:id="61"/>
    </w:p>
    <w:p w14:paraId="1E916613" w14:textId="77777777" w:rsidR="00EF7953" w:rsidRPr="001E2023" w:rsidRDefault="00EF7953">
      <w:pPr>
        <w:jc w:val="right"/>
        <w:rPr>
          <w:noProof/>
          <w:sz w:val="20"/>
        </w:rPr>
      </w:pPr>
      <w:r w:rsidRPr="001E2023">
        <w:rPr>
          <w:noProof/>
          <w:sz w:val="20"/>
        </w:rPr>
        <w:t>viazané rozpočtové prostriedky</w:t>
      </w:r>
      <w:r w:rsidR="001E2023">
        <w:rPr>
          <w:noProof/>
          <w:sz w:val="20"/>
        </w:rPr>
        <w:t xml:space="preserve"> v </w:t>
      </w:r>
      <w:r w:rsidRPr="001E2023">
        <w:rPr>
          <w:noProof/>
          <w:sz w:val="20"/>
        </w:rPr>
        <w:t>mil. EUR (zaokrúhlené na 3 desatinné miesta)</w:t>
      </w:r>
    </w:p>
    <w:tbl>
      <w:tblPr>
        <w:tblpPr w:leftFromText="180" w:rightFromText="180" w:vertAnchor="text" w:horzAnchor="margin" w:tblpY="469"/>
        <w:tblOverlap w:val="nev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83"/>
        <w:gridCol w:w="826"/>
        <w:gridCol w:w="685"/>
        <w:gridCol w:w="758"/>
        <w:gridCol w:w="614"/>
        <w:gridCol w:w="628"/>
        <w:gridCol w:w="709"/>
        <w:gridCol w:w="709"/>
        <w:gridCol w:w="567"/>
        <w:gridCol w:w="846"/>
        <w:gridCol w:w="797"/>
        <w:gridCol w:w="1046"/>
      </w:tblGrid>
      <w:tr w:rsidR="00F24F71" w:rsidRPr="00DE5E39" w14:paraId="42B71D50" w14:textId="77777777" w:rsidTr="00DE5E39">
        <w:trPr>
          <w:cantSplit/>
          <w:trHeight w:val="1134"/>
        </w:trPr>
        <w:tc>
          <w:tcPr>
            <w:tcW w:w="1271" w:type="dxa"/>
            <w:vMerge w:val="restart"/>
            <w:tcMar>
              <w:left w:w="28" w:type="dxa"/>
              <w:right w:w="28" w:type="dxa"/>
            </w:tcMar>
            <w:vAlign w:val="center"/>
          </w:tcPr>
          <w:p w14:paraId="4B05979B" w14:textId="77777777" w:rsidR="00F24F71" w:rsidRPr="00DE5E39" w:rsidRDefault="00F24F71" w:rsidP="005A52C7">
            <w:pPr>
              <w:jc w:val="center"/>
              <w:rPr>
                <w:noProof/>
                <w:spacing w:val="-6"/>
                <w:sz w:val="18"/>
                <w:szCs w:val="18"/>
              </w:rPr>
            </w:pPr>
            <w:r w:rsidRPr="00DE5E39">
              <w:rPr>
                <w:b/>
                <w:noProof/>
                <w:spacing w:val="-6"/>
                <w:sz w:val="18"/>
              </w:rPr>
              <w:t>Uveďte ciele</w:t>
            </w:r>
            <w:r w:rsidR="001E2023" w:rsidRPr="00DE5E39">
              <w:rPr>
                <w:b/>
                <w:noProof/>
                <w:spacing w:val="-6"/>
                <w:sz w:val="18"/>
              </w:rPr>
              <w:t xml:space="preserve"> a </w:t>
            </w:r>
            <w:r w:rsidRPr="00DE5E39">
              <w:rPr>
                <w:b/>
                <w:noProof/>
                <w:spacing w:val="-6"/>
                <w:sz w:val="18"/>
              </w:rPr>
              <w:t>výstupy</w:t>
            </w:r>
          </w:p>
        </w:tc>
        <w:tc>
          <w:tcPr>
            <w:tcW w:w="883" w:type="dxa"/>
            <w:tcMar>
              <w:left w:w="28" w:type="dxa"/>
              <w:right w:w="28" w:type="dxa"/>
            </w:tcMar>
            <w:vAlign w:val="center"/>
          </w:tcPr>
          <w:p w14:paraId="3095F1B2" w14:textId="77777777" w:rsidR="00F24F71" w:rsidRPr="00DE5E39" w:rsidRDefault="00F24F71" w:rsidP="005A52C7">
            <w:pPr>
              <w:jc w:val="center"/>
              <w:rPr>
                <w:noProof/>
                <w:spacing w:val="-6"/>
                <w:sz w:val="18"/>
              </w:rPr>
            </w:pPr>
          </w:p>
        </w:tc>
        <w:tc>
          <w:tcPr>
            <w:tcW w:w="826" w:type="dxa"/>
            <w:tcMar>
              <w:left w:w="28" w:type="dxa"/>
              <w:right w:w="28" w:type="dxa"/>
            </w:tcMar>
            <w:vAlign w:val="center"/>
          </w:tcPr>
          <w:p w14:paraId="03661215" w14:textId="77777777" w:rsidR="00F24F71" w:rsidRPr="00DE5E39" w:rsidRDefault="00F24F71" w:rsidP="005A52C7">
            <w:pPr>
              <w:jc w:val="center"/>
              <w:rPr>
                <w:noProof/>
                <w:spacing w:val="-6"/>
                <w:sz w:val="18"/>
              </w:rPr>
            </w:pPr>
          </w:p>
        </w:tc>
        <w:tc>
          <w:tcPr>
            <w:tcW w:w="1443" w:type="dxa"/>
            <w:gridSpan w:val="2"/>
            <w:tcBorders>
              <w:left w:val="nil"/>
            </w:tcBorders>
            <w:shd w:val="clear" w:color="auto" w:fill="auto"/>
            <w:tcMar>
              <w:left w:w="28" w:type="dxa"/>
              <w:right w:w="28" w:type="dxa"/>
            </w:tcMar>
            <w:vAlign w:val="center"/>
          </w:tcPr>
          <w:p w14:paraId="7DD06FFD" w14:textId="77777777" w:rsidR="00F24F71" w:rsidRPr="00DE5E39" w:rsidRDefault="00F24F71" w:rsidP="005A52C7">
            <w:pPr>
              <w:jc w:val="center"/>
              <w:rPr>
                <w:b/>
                <w:bCs/>
                <w:noProof/>
                <w:spacing w:val="-6"/>
                <w:sz w:val="18"/>
              </w:rPr>
            </w:pPr>
            <w:r w:rsidRPr="00DE5E39">
              <w:rPr>
                <w:b/>
                <w:noProof/>
                <w:spacing w:val="-6"/>
                <w:sz w:val="18"/>
              </w:rPr>
              <w:t>Rok 2024</w:t>
            </w:r>
          </w:p>
        </w:tc>
        <w:tc>
          <w:tcPr>
            <w:tcW w:w="1242" w:type="dxa"/>
            <w:gridSpan w:val="2"/>
            <w:shd w:val="clear" w:color="auto" w:fill="auto"/>
            <w:tcMar>
              <w:left w:w="28" w:type="dxa"/>
              <w:right w:w="28" w:type="dxa"/>
            </w:tcMar>
            <w:vAlign w:val="center"/>
          </w:tcPr>
          <w:p w14:paraId="40653E3D" w14:textId="77777777" w:rsidR="00F24F71" w:rsidRPr="00DE5E39" w:rsidRDefault="00F24F71" w:rsidP="005A52C7">
            <w:pPr>
              <w:jc w:val="center"/>
              <w:rPr>
                <w:b/>
                <w:bCs/>
                <w:noProof/>
                <w:spacing w:val="-6"/>
                <w:sz w:val="18"/>
              </w:rPr>
            </w:pPr>
            <w:r w:rsidRPr="00DE5E39">
              <w:rPr>
                <w:b/>
                <w:noProof/>
                <w:spacing w:val="-6"/>
                <w:sz w:val="18"/>
              </w:rPr>
              <w:t>Rok</w:t>
            </w:r>
            <w:r w:rsidRPr="00DE5E39">
              <w:rPr>
                <w:b/>
                <w:noProof/>
                <w:spacing w:val="-6"/>
                <w:sz w:val="22"/>
              </w:rPr>
              <w:br/>
            </w:r>
            <w:r w:rsidRPr="00DE5E39">
              <w:rPr>
                <w:b/>
                <w:noProof/>
                <w:spacing w:val="-6"/>
                <w:sz w:val="18"/>
              </w:rPr>
              <w:t>2025</w:t>
            </w:r>
          </w:p>
        </w:tc>
        <w:tc>
          <w:tcPr>
            <w:tcW w:w="1418" w:type="dxa"/>
            <w:gridSpan w:val="2"/>
            <w:shd w:val="clear" w:color="auto" w:fill="auto"/>
            <w:tcMar>
              <w:left w:w="28" w:type="dxa"/>
              <w:right w:w="28" w:type="dxa"/>
            </w:tcMar>
            <w:vAlign w:val="center"/>
          </w:tcPr>
          <w:p w14:paraId="0711716C" w14:textId="77777777" w:rsidR="00F24F71" w:rsidRPr="00DE5E39" w:rsidRDefault="00F24F71" w:rsidP="005A52C7">
            <w:pPr>
              <w:jc w:val="center"/>
              <w:rPr>
                <w:b/>
                <w:bCs/>
                <w:noProof/>
                <w:spacing w:val="-6"/>
                <w:sz w:val="18"/>
              </w:rPr>
            </w:pPr>
            <w:r w:rsidRPr="00DE5E39">
              <w:rPr>
                <w:b/>
                <w:noProof/>
                <w:spacing w:val="-6"/>
                <w:sz w:val="18"/>
              </w:rPr>
              <w:t>Rok</w:t>
            </w:r>
            <w:r w:rsidRPr="00DE5E39">
              <w:rPr>
                <w:b/>
                <w:noProof/>
                <w:spacing w:val="-6"/>
                <w:sz w:val="22"/>
              </w:rPr>
              <w:br/>
            </w:r>
            <w:r w:rsidRPr="00DE5E39">
              <w:rPr>
                <w:b/>
                <w:noProof/>
                <w:spacing w:val="-6"/>
                <w:sz w:val="18"/>
              </w:rPr>
              <w:t>2026</w:t>
            </w:r>
          </w:p>
        </w:tc>
        <w:tc>
          <w:tcPr>
            <w:tcW w:w="1413" w:type="dxa"/>
            <w:gridSpan w:val="2"/>
            <w:shd w:val="clear" w:color="auto" w:fill="auto"/>
            <w:tcMar>
              <w:left w:w="28" w:type="dxa"/>
              <w:right w:w="28" w:type="dxa"/>
            </w:tcMar>
            <w:vAlign w:val="center"/>
          </w:tcPr>
          <w:p w14:paraId="4338E5BF" w14:textId="77777777" w:rsidR="00F24F71" w:rsidRPr="00DE5E39" w:rsidRDefault="00F24F71" w:rsidP="005A52C7">
            <w:pPr>
              <w:jc w:val="center"/>
              <w:rPr>
                <w:b/>
                <w:bCs/>
                <w:noProof/>
                <w:spacing w:val="-6"/>
                <w:sz w:val="18"/>
              </w:rPr>
            </w:pPr>
            <w:r w:rsidRPr="00DE5E39">
              <w:rPr>
                <w:b/>
                <w:noProof/>
                <w:spacing w:val="-6"/>
                <w:sz w:val="18"/>
              </w:rPr>
              <w:t>Rok</w:t>
            </w:r>
            <w:r w:rsidRPr="00DE5E39">
              <w:rPr>
                <w:b/>
                <w:noProof/>
                <w:spacing w:val="-6"/>
                <w:sz w:val="22"/>
              </w:rPr>
              <w:br/>
            </w:r>
            <w:r w:rsidRPr="00DE5E39">
              <w:rPr>
                <w:b/>
                <w:noProof/>
                <w:spacing w:val="-6"/>
                <w:sz w:val="18"/>
              </w:rPr>
              <w:t>2027</w:t>
            </w:r>
          </w:p>
        </w:tc>
        <w:tc>
          <w:tcPr>
            <w:tcW w:w="1843" w:type="dxa"/>
            <w:gridSpan w:val="2"/>
            <w:shd w:val="clear" w:color="auto" w:fill="auto"/>
            <w:tcMar>
              <w:left w:w="28" w:type="dxa"/>
              <w:right w:w="28" w:type="dxa"/>
            </w:tcMar>
            <w:vAlign w:val="center"/>
          </w:tcPr>
          <w:p w14:paraId="78D29BFC" w14:textId="77777777" w:rsidR="00F24F71" w:rsidRPr="00DE5E39" w:rsidRDefault="00F24F71" w:rsidP="005A52C7">
            <w:pPr>
              <w:jc w:val="center"/>
              <w:rPr>
                <w:b/>
                <w:bCs/>
                <w:noProof/>
                <w:spacing w:val="-6"/>
                <w:sz w:val="18"/>
              </w:rPr>
            </w:pPr>
            <w:r w:rsidRPr="00DE5E39">
              <w:rPr>
                <w:b/>
                <w:noProof/>
                <w:spacing w:val="-6"/>
                <w:sz w:val="18"/>
              </w:rPr>
              <w:t>SPOLU</w:t>
            </w:r>
          </w:p>
        </w:tc>
      </w:tr>
      <w:tr w:rsidR="00F24F71" w:rsidRPr="00DE5E39" w14:paraId="5A725835" w14:textId="77777777" w:rsidTr="00DE5E39">
        <w:trPr>
          <w:gridAfter w:val="12"/>
          <w:wAfter w:w="9068" w:type="dxa"/>
          <w:cantSplit/>
          <w:trHeight w:val="447"/>
        </w:trPr>
        <w:tc>
          <w:tcPr>
            <w:tcW w:w="1271" w:type="dxa"/>
            <w:vMerge/>
            <w:tcMar>
              <w:left w:w="28" w:type="dxa"/>
              <w:right w:w="28" w:type="dxa"/>
            </w:tcMar>
            <w:vAlign w:val="center"/>
          </w:tcPr>
          <w:p w14:paraId="05EC6F31" w14:textId="77777777" w:rsidR="00F24F71" w:rsidRPr="00DE5E39" w:rsidRDefault="00F24F71" w:rsidP="005A52C7">
            <w:pPr>
              <w:rPr>
                <w:noProof/>
                <w:spacing w:val="-6"/>
                <w:sz w:val="18"/>
                <w:szCs w:val="18"/>
              </w:rPr>
            </w:pPr>
          </w:p>
        </w:tc>
      </w:tr>
      <w:tr w:rsidR="00F24F71" w:rsidRPr="00DE5E39" w14:paraId="4019BAFC" w14:textId="77777777" w:rsidTr="00DE5E39">
        <w:trPr>
          <w:cantSplit/>
          <w:trHeight w:val="1134"/>
        </w:trPr>
        <w:tc>
          <w:tcPr>
            <w:tcW w:w="1271" w:type="dxa"/>
            <w:vMerge/>
            <w:tcMar>
              <w:left w:w="28" w:type="dxa"/>
              <w:right w:w="28" w:type="dxa"/>
            </w:tcMar>
            <w:vAlign w:val="center"/>
          </w:tcPr>
          <w:p w14:paraId="6FAEC5F0" w14:textId="77777777" w:rsidR="00F24F71" w:rsidRPr="00DE5E39" w:rsidRDefault="00F24F71" w:rsidP="005A52C7">
            <w:pPr>
              <w:rPr>
                <w:noProof/>
                <w:spacing w:val="-6"/>
                <w:sz w:val="18"/>
                <w:szCs w:val="18"/>
              </w:rPr>
            </w:pPr>
          </w:p>
        </w:tc>
        <w:tc>
          <w:tcPr>
            <w:tcW w:w="883" w:type="dxa"/>
            <w:tcMar>
              <w:left w:w="28" w:type="dxa"/>
              <w:right w:w="28" w:type="dxa"/>
            </w:tcMar>
            <w:vAlign w:val="center"/>
          </w:tcPr>
          <w:p w14:paraId="1EEC7C7B" w14:textId="77777777" w:rsidR="00F24F71" w:rsidRPr="00DE5E39" w:rsidRDefault="00F24F71" w:rsidP="005A52C7">
            <w:pPr>
              <w:jc w:val="center"/>
              <w:rPr>
                <w:noProof/>
                <w:spacing w:val="-6"/>
                <w:sz w:val="18"/>
                <w:szCs w:val="18"/>
              </w:rPr>
            </w:pPr>
            <w:r w:rsidRPr="00DE5E39">
              <w:rPr>
                <w:noProof/>
                <w:spacing w:val="-6"/>
                <w:sz w:val="18"/>
              </w:rPr>
              <w:t>Druh</w:t>
            </w:r>
            <w:r w:rsidRPr="00DE5E39">
              <w:rPr>
                <w:rStyle w:val="Odkaznapoznmkupodiarou"/>
                <w:noProof/>
                <w:spacing w:val="-6"/>
                <w:sz w:val="18"/>
                <w:szCs w:val="18"/>
              </w:rPr>
              <w:footnoteReference w:id="25"/>
            </w:r>
          </w:p>
          <w:p w14:paraId="71702A8F" w14:textId="77777777" w:rsidR="00F24F71" w:rsidRPr="00DE5E39" w:rsidRDefault="00F24F71" w:rsidP="005A52C7">
            <w:pPr>
              <w:spacing w:before="0" w:after="0"/>
              <w:jc w:val="center"/>
              <w:rPr>
                <w:noProof/>
                <w:spacing w:val="-6"/>
                <w:sz w:val="18"/>
                <w:szCs w:val="18"/>
              </w:rPr>
            </w:pPr>
          </w:p>
        </w:tc>
        <w:tc>
          <w:tcPr>
            <w:tcW w:w="826" w:type="dxa"/>
            <w:tcMar>
              <w:left w:w="28" w:type="dxa"/>
              <w:right w:w="28" w:type="dxa"/>
            </w:tcMar>
            <w:vAlign w:val="center"/>
          </w:tcPr>
          <w:p w14:paraId="771DB2C5" w14:textId="77777777" w:rsidR="00F24F71" w:rsidRPr="00DE5E39" w:rsidRDefault="00F24F71" w:rsidP="005A52C7">
            <w:pPr>
              <w:jc w:val="center"/>
              <w:rPr>
                <w:noProof/>
                <w:spacing w:val="-6"/>
                <w:sz w:val="18"/>
                <w:szCs w:val="18"/>
              </w:rPr>
            </w:pPr>
            <w:r w:rsidRPr="00DE5E39">
              <w:rPr>
                <w:noProof/>
                <w:spacing w:val="-6"/>
                <w:sz w:val="18"/>
              </w:rPr>
              <w:t>Priemerné náklady</w:t>
            </w:r>
          </w:p>
        </w:tc>
        <w:tc>
          <w:tcPr>
            <w:tcW w:w="685" w:type="dxa"/>
            <w:tcBorders>
              <w:left w:val="nil"/>
              <w:right w:val="dashSmallGap" w:sz="4" w:space="0" w:color="auto"/>
            </w:tcBorders>
            <w:shd w:val="clear" w:color="auto" w:fill="auto"/>
            <w:tcMar>
              <w:left w:w="28" w:type="dxa"/>
              <w:right w:w="28" w:type="dxa"/>
            </w:tcMar>
            <w:textDirection w:val="btLr"/>
            <w:vAlign w:val="center"/>
          </w:tcPr>
          <w:p w14:paraId="49603577" w14:textId="77777777" w:rsidR="00F24F71" w:rsidRPr="00DE5E39" w:rsidRDefault="00F24F71" w:rsidP="005A52C7">
            <w:pPr>
              <w:ind w:left="113" w:right="113"/>
              <w:jc w:val="center"/>
              <w:rPr>
                <w:noProof/>
                <w:spacing w:val="-6"/>
                <w:sz w:val="18"/>
                <w:szCs w:val="18"/>
              </w:rPr>
            </w:pPr>
            <w:r w:rsidRPr="00DE5E39">
              <w:rPr>
                <w:noProof/>
                <w:spacing w:val="-6"/>
                <w:sz w:val="18"/>
              </w:rPr>
              <w:t>Počet</w:t>
            </w:r>
          </w:p>
        </w:tc>
        <w:tc>
          <w:tcPr>
            <w:tcW w:w="758" w:type="dxa"/>
            <w:tcBorders>
              <w:left w:val="dashSmallGap" w:sz="4" w:space="0" w:color="auto"/>
            </w:tcBorders>
            <w:shd w:val="clear" w:color="auto" w:fill="auto"/>
            <w:tcMar>
              <w:left w:w="28" w:type="dxa"/>
              <w:right w:w="28" w:type="dxa"/>
            </w:tcMar>
            <w:vAlign w:val="center"/>
          </w:tcPr>
          <w:p w14:paraId="0AEFE07D" w14:textId="77777777" w:rsidR="00F24F71" w:rsidRPr="00DE5E39" w:rsidRDefault="00F24F71" w:rsidP="005A52C7">
            <w:pPr>
              <w:jc w:val="center"/>
              <w:rPr>
                <w:noProof/>
                <w:spacing w:val="-6"/>
                <w:sz w:val="18"/>
                <w:szCs w:val="18"/>
              </w:rPr>
            </w:pPr>
            <w:r w:rsidRPr="00DE5E39">
              <w:rPr>
                <w:noProof/>
                <w:spacing w:val="-6"/>
                <w:sz w:val="18"/>
              </w:rPr>
              <w:t>Náklady</w:t>
            </w:r>
          </w:p>
        </w:tc>
        <w:tc>
          <w:tcPr>
            <w:tcW w:w="614" w:type="dxa"/>
            <w:tcBorders>
              <w:right w:val="dashSmallGap" w:sz="4" w:space="0" w:color="auto"/>
            </w:tcBorders>
            <w:shd w:val="clear" w:color="auto" w:fill="auto"/>
            <w:tcMar>
              <w:left w:w="28" w:type="dxa"/>
              <w:right w:w="28" w:type="dxa"/>
            </w:tcMar>
            <w:textDirection w:val="btLr"/>
            <w:vAlign w:val="center"/>
          </w:tcPr>
          <w:p w14:paraId="2F83CF1D" w14:textId="77777777" w:rsidR="00F24F71" w:rsidRPr="00DE5E39" w:rsidRDefault="00F24F71" w:rsidP="005A52C7">
            <w:pPr>
              <w:ind w:left="113" w:right="113"/>
              <w:jc w:val="center"/>
              <w:rPr>
                <w:noProof/>
                <w:spacing w:val="-6"/>
                <w:sz w:val="18"/>
                <w:szCs w:val="18"/>
              </w:rPr>
            </w:pPr>
            <w:r w:rsidRPr="00DE5E39">
              <w:rPr>
                <w:noProof/>
                <w:spacing w:val="-6"/>
                <w:sz w:val="18"/>
              </w:rPr>
              <w:t>Počet</w:t>
            </w:r>
          </w:p>
        </w:tc>
        <w:tc>
          <w:tcPr>
            <w:tcW w:w="628" w:type="dxa"/>
            <w:tcBorders>
              <w:left w:val="dashSmallGap" w:sz="4" w:space="0" w:color="auto"/>
            </w:tcBorders>
            <w:shd w:val="clear" w:color="auto" w:fill="auto"/>
            <w:tcMar>
              <w:left w:w="28" w:type="dxa"/>
              <w:right w:w="28" w:type="dxa"/>
            </w:tcMar>
            <w:vAlign w:val="center"/>
          </w:tcPr>
          <w:p w14:paraId="6EAD4BBF" w14:textId="77777777" w:rsidR="00F24F71" w:rsidRPr="00DE5E39" w:rsidRDefault="00F24F71" w:rsidP="005A52C7">
            <w:pPr>
              <w:jc w:val="center"/>
              <w:rPr>
                <w:noProof/>
                <w:spacing w:val="-6"/>
                <w:sz w:val="18"/>
                <w:szCs w:val="18"/>
              </w:rPr>
            </w:pPr>
            <w:r w:rsidRPr="00DE5E39">
              <w:rPr>
                <w:noProof/>
                <w:spacing w:val="-6"/>
                <w:sz w:val="18"/>
              </w:rPr>
              <w:t>Náklady</w:t>
            </w:r>
          </w:p>
        </w:tc>
        <w:tc>
          <w:tcPr>
            <w:tcW w:w="709" w:type="dxa"/>
            <w:tcBorders>
              <w:right w:val="dashSmallGap" w:sz="4" w:space="0" w:color="auto"/>
            </w:tcBorders>
            <w:shd w:val="clear" w:color="auto" w:fill="auto"/>
            <w:tcMar>
              <w:left w:w="28" w:type="dxa"/>
              <w:right w:w="28" w:type="dxa"/>
            </w:tcMar>
            <w:textDirection w:val="btLr"/>
            <w:vAlign w:val="center"/>
          </w:tcPr>
          <w:p w14:paraId="093FD1C8" w14:textId="77777777" w:rsidR="00F24F71" w:rsidRPr="00DE5E39" w:rsidRDefault="00F24F71" w:rsidP="005A52C7">
            <w:pPr>
              <w:ind w:left="113" w:right="113"/>
              <w:jc w:val="center"/>
              <w:rPr>
                <w:noProof/>
                <w:spacing w:val="-6"/>
                <w:sz w:val="18"/>
                <w:szCs w:val="18"/>
              </w:rPr>
            </w:pPr>
            <w:r w:rsidRPr="00DE5E39">
              <w:rPr>
                <w:noProof/>
                <w:spacing w:val="-6"/>
                <w:sz w:val="18"/>
              </w:rPr>
              <w:t>Počet</w:t>
            </w:r>
          </w:p>
        </w:tc>
        <w:tc>
          <w:tcPr>
            <w:tcW w:w="709" w:type="dxa"/>
            <w:tcBorders>
              <w:left w:val="dashSmallGap" w:sz="4" w:space="0" w:color="auto"/>
            </w:tcBorders>
            <w:shd w:val="clear" w:color="auto" w:fill="auto"/>
            <w:tcMar>
              <w:left w:w="28" w:type="dxa"/>
              <w:right w:w="28" w:type="dxa"/>
            </w:tcMar>
            <w:vAlign w:val="center"/>
          </w:tcPr>
          <w:p w14:paraId="705F8EA4" w14:textId="77777777" w:rsidR="00F24F71" w:rsidRPr="00DE5E39" w:rsidRDefault="00F24F71" w:rsidP="005A52C7">
            <w:pPr>
              <w:jc w:val="center"/>
              <w:rPr>
                <w:noProof/>
                <w:spacing w:val="-6"/>
                <w:sz w:val="18"/>
                <w:szCs w:val="18"/>
              </w:rPr>
            </w:pPr>
            <w:r w:rsidRPr="00DE5E39">
              <w:rPr>
                <w:noProof/>
                <w:spacing w:val="-6"/>
                <w:sz w:val="18"/>
              </w:rPr>
              <w:t>Náklady</w:t>
            </w:r>
          </w:p>
        </w:tc>
        <w:tc>
          <w:tcPr>
            <w:tcW w:w="567" w:type="dxa"/>
            <w:tcBorders>
              <w:right w:val="dashSmallGap" w:sz="4" w:space="0" w:color="auto"/>
            </w:tcBorders>
            <w:shd w:val="clear" w:color="auto" w:fill="auto"/>
            <w:tcMar>
              <w:left w:w="28" w:type="dxa"/>
              <w:right w:w="28" w:type="dxa"/>
            </w:tcMar>
            <w:textDirection w:val="btLr"/>
            <w:vAlign w:val="center"/>
          </w:tcPr>
          <w:p w14:paraId="1CF01122" w14:textId="77777777" w:rsidR="00F24F71" w:rsidRPr="00DE5E39" w:rsidRDefault="00F24F71" w:rsidP="005A52C7">
            <w:pPr>
              <w:ind w:left="113" w:right="113"/>
              <w:jc w:val="center"/>
              <w:rPr>
                <w:noProof/>
                <w:spacing w:val="-6"/>
                <w:sz w:val="18"/>
                <w:szCs w:val="18"/>
              </w:rPr>
            </w:pPr>
            <w:r w:rsidRPr="00DE5E39">
              <w:rPr>
                <w:noProof/>
                <w:spacing w:val="-6"/>
                <w:sz w:val="18"/>
              </w:rPr>
              <w:t>Počet</w:t>
            </w:r>
          </w:p>
        </w:tc>
        <w:tc>
          <w:tcPr>
            <w:tcW w:w="846" w:type="dxa"/>
            <w:tcBorders>
              <w:left w:val="dashSmallGap" w:sz="4" w:space="0" w:color="auto"/>
            </w:tcBorders>
            <w:shd w:val="clear" w:color="auto" w:fill="auto"/>
            <w:tcMar>
              <w:left w:w="28" w:type="dxa"/>
              <w:right w:w="28" w:type="dxa"/>
            </w:tcMar>
            <w:vAlign w:val="center"/>
          </w:tcPr>
          <w:p w14:paraId="40CDFA07" w14:textId="77777777" w:rsidR="00F24F71" w:rsidRPr="00DE5E39" w:rsidRDefault="00F24F71" w:rsidP="005A52C7">
            <w:pPr>
              <w:jc w:val="center"/>
              <w:rPr>
                <w:noProof/>
                <w:spacing w:val="-6"/>
                <w:sz w:val="18"/>
                <w:szCs w:val="18"/>
              </w:rPr>
            </w:pPr>
            <w:r w:rsidRPr="00DE5E39">
              <w:rPr>
                <w:noProof/>
                <w:spacing w:val="-6"/>
                <w:sz w:val="18"/>
              </w:rPr>
              <w:t>Náklady</w:t>
            </w:r>
          </w:p>
        </w:tc>
        <w:tc>
          <w:tcPr>
            <w:tcW w:w="797" w:type="dxa"/>
            <w:tcBorders>
              <w:right w:val="dashSmallGap" w:sz="4" w:space="0" w:color="auto"/>
            </w:tcBorders>
            <w:shd w:val="clear" w:color="auto" w:fill="auto"/>
            <w:tcMar>
              <w:left w:w="28" w:type="dxa"/>
              <w:right w:w="28" w:type="dxa"/>
            </w:tcMar>
            <w:vAlign w:val="center"/>
          </w:tcPr>
          <w:p w14:paraId="38FDAC9E" w14:textId="77777777" w:rsidR="00F24F71" w:rsidRPr="00DE5E39" w:rsidRDefault="00F24F71" w:rsidP="005A52C7">
            <w:pPr>
              <w:jc w:val="center"/>
              <w:rPr>
                <w:noProof/>
                <w:spacing w:val="-6"/>
                <w:sz w:val="18"/>
                <w:szCs w:val="18"/>
              </w:rPr>
            </w:pPr>
            <w:r w:rsidRPr="00DE5E39">
              <w:rPr>
                <w:noProof/>
                <w:spacing w:val="-6"/>
                <w:sz w:val="18"/>
              </w:rPr>
              <w:t>Počet spolu</w:t>
            </w:r>
          </w:p>
        </w:tc>
        <w:tc>
          <w:tcPr>
            <w:tcW w:w="1046" w:type="dxa"/>
            <w:tcBorders>
              <w:left w:val="dashSmallGap" w:sz="4" w:space="0" w:color="auto"/>
            </w:tcBorders>
            <w:shd w:val="clear" w:color="auto" w:fill="auto"/>
            <w:tcMar>
              <w:left w:w="28" w:type="dxa"/>
              <w:right w:w="28" w:type="dxa"/>
            </w:tcMar>
            <w:vAlign w:val="center"/>
          </w:tcPr>
          <w:p w14:paraId="76D40D93" w14:textId="77777777" w:rsidR="00F24F71" w:rsidRPr="00DE5E39" w:rsidRDefault="00F24F71" w:rsidP="005A52C7">
            <w:pPr>
              <w:jc w:val="center"/>
              <w:rPr>
                <w:noProof/>
                <w:spacing w:val="-6"/>
                <w:sz w:val="18"/>
                <w:szCs w:val="18"/>
              </w:rPr>
            </w:pPr>
            <w:r w:rsidRPr="00DE5E39">
              <w:rPr>
                <w:noProof/>
                <w:spacing w:val="-6"/>
                <w:sz w:val="18"/>
              </w:rPr>
              <w:t>Náklady spolu</w:t>
            </w:r>
          </w:p>
        </w:tc>
      </w:tr>
      <w:tr w:rsidR="00F24F71" w:rsidRPr="00DE5E39" w14:paraId="263C8FC7" w14:textId="77777777" w:rsidTr="00DE5E39">
        <w:tc>
          <w:tcPr>
            <w:tcW w:w="2980" w:type="dxa"/>
            <w:gridSpan w:val="3"/>
            <w:tcMar>
              <w:left w:w="28" w:type="dxa"/>
              <w:right w:w="28" w:type="dxa"/>
            </w:tcMar>
            <w:vAlign w:val="center"/>
          </w:tcPr>
          <w:p w14:paraId="362735AE" w14:textId="77777777" w:rsidR="00F24F71" w:rsidRPr="00DE5E39" w:rsidRDefault="00F24F71" w:rsidP="005A52C7">
            <w:pPr>
              <w:spacing w:before="60" w:after="60"/>
              <w:ind w:right="-29"/>
              <w:jc w:val="center"/>
              <w:rPr>
                <w:noProof/>
                <w:spacing w:val="-6"/>
                <w:sz w:val="18"/>
                <w:szCs w:val="18"/>
              </w:rPr>
            </w:pPr>
            <w:r w:rsidRPr="00DE5E39">
              <w:rPr>
                <w:noProof/>
                <w:spacing w:val="-6"/>
                <w:sz w:val="18"/>
              </w:rPr>
              <w:t xml:space="preserve">ŠPECIFICKÝ CIEĽ </w:t>
            </w:r>
            <w:r w:rsidR="001E2023" w:rsidRPr="00DE5E39">
              <w:rPr>
                <w:noProof/>
                <w:spacing w:val="-6"/>
                <w:sz w:val="18"/>
              </w:rPr>
              <w:t>č. </w:t>
            </w:r>
            <w:r w:rsidRPr="00DE5E39">
              <w:rPr>
                <w:noProof/>
                <w:spacing w:val="-6"/>
                <w:sz w:val="18"/>
              </w:rPr>
              <w:t>1</w:t>
            </w:r>
            <w:r w:rsidRPr="00DE5E39">
              <w:rPr>
                <w:rStyle w:val="Odkaznapoznmkupodiarou"/>
                <w:noProof/>
                <w:spacing w:val="-6"/>
                <w:sz w:val="18"/>
                <w:szCs w:val="18"/>
              </w:rPr>
              <w:footnoteReference w:id="26"/>
            </w:r>
            <w:r w:rsidRPr="00DE5E39">
              <w:rPr>
                <w:noProof/>
                <w:spacing w:val="-6"/>
                <w:sz w:val="18"/>
              </w:rPr>
              <w:t>…</w:t>
            </w:r>
          </w:p>
        </w:tc>
        <w:tc>
          <w:tcPr>
            <w:tcW w:w="685" w:type="dxa"/>
            <w:tcBorders>
              <w:top w:val="nil"/>
              <w:left w:val="nil"/>
              <w:bottom w:val="nil"/>
              <w:right w:val="nil"/>
            </w:tcBorders>
            <w:tcMar>
              <w:left w:w="28" w:type="dxa"/>
              <w:right w:w="28" w:type="dxa"/>
            </w:tcMar>
          </w:tcPr>
          <w:p w14:paraId="19432FC7" w14:textId="77777777" w:rsidR="00F24F71" w:rsidRPr="00DE5E39" w:rsidRDefault="00F24F71" w:rsidP="005A52C7">
            <w:pPr>
              <w:spacing w:before="60" w:after="60"/>
              <w:ind w:right="-29"/>
              <w:jc w:val="center"/>
              <w:rPr>
                <w:noProof/>
                <w:spacing w:val="-6"/>
                <w:sz w:val="18"/>
                <w:szCs w:val="18"/>
              </w:rPr>
            </w:pPr>
          </w:p>
        </w:tc>
        <w:tc>
          <w:tcPr>
            <w:tcW w:w="758" w:type="dxa"/>
            <w:tcBorders>
              <w:top w:val="nil"/>
              <w:left w:val="nil"/>
              <w:bottom w:val="nil"/>
              <w:right w:val="nil"/>
            </w:tcBorders>
            <w:tcMar>
              <w:left w:w="28" w:type="dxa"/>
              <w:right w:w="28" w:type="dxa"/>
            </w:tcMar>
          </w:tcPr>
          <w:p w14:paraId="418C976C" w14:textId="77777777" w:rsidR="00F24F71" w:rsidRPr="00DE5E39" w:rsidRDefault="00F24F71" w:rsidP="005A52C7">
            <w:pPr>
              <w:spacing w:before="60" w:after="60"/>
              <w:ind w:right="-29"/>
              <w:jc w:val="center"/>
              <w:rPr>
                <w:noProof/>
                <w:spacing w:val="-6"/>
                <w:sz w:val="18"/>
                <w:szCs w:val="18"/>
              </w:rPr>
            </w:pPr>
          </w:p>
        </w:tc>
        <w:tc>
          <w:tcPr>
            <w:tcW w:w="614" w:type="dxa"/>
            <w:tcBorders>
              <w:top w:val="nil"/>
              <w:left w:val="nil"/>
              <w:bottom w:val="nil"/>
              <w:right w:val="nil"/>
            </w:tcBorders>
            <w:tcMar>
              <w:left w:w="28" w:type="dxa"/>
              <w:right w:w="28" w:type="dxa"/>
            </w:tcMar>
          </w:tcPr>
          <w:p w14:paraId="4999D191" w14:textId="77777777" w:rsidR="00F24F71" w:rsidRPr="00DE5E39" w:rsidRDefault="00F24F71" w:rsidP="005A52C7">
            <w:pPr>
              <w:spacing w:before="60" w:after="60"/>
              <w:ind w:right="-29"/>
              <w:jc w:val="center"/>
              <w:rPr>
                <w:noProof/>
                <w:spacing w:val="-6"/>
                <w:sz w:val="18"/>
                <w:szCs w:val="18"/>
              </w:rPr>
            </w:pPr>
          </w:p>
        </w:tc>
        <w:tc>
          <w:tcPr>
            <w:tcW w:w="628" w:type="dxa"/>
            <w:tcBorders>
              <w:top w:val="nil"/>
              <w:left w:val="nil"/>
              <w:bottom w:val="nil"/>
              <w:right w:val="nil"/>
            </w:tcBorders>
            <w:tcMar>
              <w:left w:w="28" w:type="dxa"/>
              <w:right w:w="28" w:type="dxa"/>
            </w:tcMar>
          </w:tcPr>
          <w:p w14:paraId="2D097E85" w14:textId="77777777" w:rsidR="00F24F71" w:rsidRPr="00DE5E39" w:rsidRDefault="00F24F71" w:rsidP="005A52C7">
            <w:pPr>
              <w:spacing w:before="60" w:after="60"/>
              <w:ind w:right="-29"/>
              <w:jc w:val="center"/>
              <w:rPr>
                <w:noProof/>
                <w:spacing w:val="-6"/>
                <w:sz w:val="18"/>
                <w:szCs w:val="18"/>
              </w:rPr>
            </w:pPr>
          </w:p>
        </w:tc>
        <w:tc>
          <w:tcPr>
            <w:tcW w:w="709" w:type="dxa"/>
            <w:tcBorders>
              <w:top w:val="nil"/>
              <w:left w:val="nil"/>
              <w:bottom w:val="nil"/>
              <w:right w:val="nil"/>
            </w:tcBorders>
            <w:tcMar>
              <w:left w:w="28" w:type="dxa"/>
              <w:right w:w="28" w:type="dxa"/>
            </w:tcMar>
          </w:tcPr>
          <w:p w14:paraId="60477BCC" w14:textId="77777777" w:rsidR="00F24F71" w:rsidRPr="00DE5E39" w:rsidRDefault="00F24F71" w:rsidP="005A52C7">
            <w:pPr>
              <w:spacing w:before="60" w:after="60"/>
              <w:ind w:right="-29"/>
              <w:jc w:val="center"/>
              <w:rPr>
                <w:noProof/>
                <w:spacing w:val="-6"/>
                <w:sz w:val="18"/>
                <w:szCs w:val="18"/>
              </w:rPr>
            </w:pPr>
          </w:p>
        </w:tc>
        <w:tc>
          <w:tcPr>
            <w:tcW w:w="709" w:type="dxa"/>
            <w:tcBorders>
              <w:top w:val="nil"/>
              <w:left w:val="nil"/>
              <w:bottom w:val="nil"/>
              <w:right w:val="nil"/>
            </w:tcBorders>
            <w:tcMar>
              <w:left w:w="28" w:type="dxa"/>
              <w:right w:w="28" w:type="dxa"/>
            </w:tcMar>
          </w:tcPr>
          <w:p w14:paraId="316525E4" w14:textId="77777777" w:rsidR="00F24F71" w:rsidRPr="00DE5E39" w:rsidRDefault="00F24F71" w:rsidP="005A52C7">
            <w:pPr>
              <w:spacing w:before="60" w:after="60"/>
              <w:ind w:right="-29"/>
              <w:jc w:val="center"/>
              <w:rPr>
                <w:noProof/>
                <w:spacing w:val="-6"/>
                <w:sz w:val="18"/>
                <w:szCs w:val="18"/>
              </w:rPr>
            </w:pPr>
          </w:p>
        </w:tc>
        <w:tc>
          <w:tcPr>
            <w:tcW w:w="567" w:type="dxa"/>
            <w:tcBorders>
              <w:top w:val="nil"/>
              <w:left w:val="nil"/>
              <w:bottom w:val="nil"/>
              <w:right w:val="nil"/>
            </w:tcBorders>
            <w:tcMar>
              <w:left w:w="28" w:type="dxa"/>
              <w:right w:w="28" w:type="dxa"/>
            </w:tcMar>
          </w:tcPr>
          <w:p w14:paraId="106B5B12" w14:textId="77777777" w:rsidR="00F24F71" w:rsidRPr="00DE5E39" w:rsidRDefault="00F24F71" w:rsidP="005A52C7">
            <w:pPr>
              <w:spacing w:before="60" w:after="60"/>
              <w:ind w:right="-29"/>
              <w:jc w:val="center"/>
              <w:rPr>
                <w:noProof/>
                <w:spacing w:val="-6"/>
                <w:sz w:val="18"/>
                <w:szCs w:val="18"/>
              </w:rPr>
            </w:pPr>
          </w:p>
        </w:tc>
        <w:tc>
          <w:tcPr>
            <w:tcW w:w="846" w:type="dxa"/>
            <w:tcBorders>
              <w:top w:val="nil"/>
              <w:left w:val="nil"/>
              <w:bottom w:val="nil"/>
              <w:right w:val="nil"/>
            </w:tcBorders>
            <w:tcMar>
              <w:left w:w="28" w:type="dxa"/>
              <w:right w:w="28" w:type="dxa"/>
            </w:tcMar>
          </w:tcPr>
          <w:p w14:paraId="019180B5" w14:textId="77777777" w:rsidR="00F24F71" w:rsidRPr="00DE5E39" w:rsidRDefault="00F24F71" w:rsidP="005A52C7">
            <w:pPr>
              <w:spacing w:before="60" w:after="60"/>
              <w:ind w:right="-29"/>
              <w:jc w:val="center"/>
              <w:rPr>
                <w:noProof/>
                <w:spacing w:val="-6"/>
                <w:sz w:val="18"/>
                <w:szCs w:val="18"/>
              </w:rPr>
            </w:pPr>
          </w:p>
        </w:tc>
        <w:tc>
          <w:tcPr>
            <w:tcW w:w="797" w:type="dxa"/>
            <w:tcBorders>
              <w:top w:val="nil"/>
              <w:left w:val="nil"/>
              <w:bottom w:val="nil"/>
              <w:right w:val="nil"/>
            </w:tcBorders>
            <w:tcMar>
              <w:left w:w="28" w:type="dxa"/>
              <w:right w:w="28" w:type="dxa"/>
            </w:tcMar>
          </w:tcPr>
          <w:p w14:paraId="460357F3" w14:textId="77777777" w:rsidR="00F24F71" w:rsidRPr="00DE5E39" w:rsidRDefault="00F24F71" w:rsidP="005A52C7">
            <w:pPr>
              <w:spacing w:before="60" w:after="60"/>
              <w:ind w:right="-29"/>
              <w:jc w:val="center"/>
              <w:rPr>
                <w:noProof/>
                <w:spacing w:val="-6"/>
                <w:sz w:val="18"/>
                <w:szCs w:val="18"/>
              </w:rPr>
            </w:pPr>
          </w:p>
        </w:tc>
        <w:tc>
          <w:tcPr>
            <w:tcW w:w="1046" w:type="dxa"/>
            <w:tcBorders>
              <w:top w:val="nil"/>
              <w:left w:val="nil"/>
              <w:bottom w:val="nil"/>
              <w:right w:val="nil"/>
            </w:tcBorders>
            <w:tcMar>
              <w:left w:w="28" w:type="dxa"/>
              <w:right w:w="28" w:type="dxa"/>
            </w:tcMar>
          </w:tcPr>
          <w:p w14:paraId="0951E7F6" w14:textId="77777777" w:rsidR="00F24F71" w:rsidRPr="00DE5E39" w:rsidRDefault="00F24F71" w:rsidP="005A52C7">
            <w:pPr>
              <w:spacing w:before="60" w:after="60"/>
              <w:ind w:right="-29"/>
              <w:jc w:val="center"/>
              <w:rPr>
                <w:noProof/>
                <w:spacing w:val="-6"/>
                <w:sz w:val="18"/>
                <w:szCs w:val="18"/>
              </w:rPr>
            </w:pPr>
          </w:p>
        </w:tc>
      </w:tr>
      <w:tr w:rsidR="00F24F71" w:rsidRPr="00DE5E39" w14:paraId="2CD4F69F" w14:textId="77777777" w:rsidTr="00DE5E39">
        <w:trPr>
          <w:trHeight w:val="369"/>
        </w:trPr>
        <w:tc>
          <w:tcPr>
            <w:tcW w:w="1271" w:type="dxa"/>
            <w:tcMar>
              <w:left w:w="28" w:type="dxa"/>
              <w:right w:w="28" w:type="dxa"/>
            </w:tcMar>
          </w:tcPr>
          <w:p w14:paraId="7C647CBD" w14:textId="77777777" w:rsidR="00F24F71" w:rsidRPr="00DE5E39" w:rsidRDefault="00F24F71" w:rsidP="005A52C7">
            <w:pPr>
              <w:ind w:right="-29"/>
              <w:jc w:val="center"/>
              <w:rPr>
                <w:noProof/>
                <w:spacing w:val="-6"/>
                <w:sz w:val="18"/>
                <w:szCs w:val="18"/>
              </w:rPr>
            </w:pPr>
            <w:r w:rsidRPr="00DE5E39">
              <w:rPr>
                <w:noProof/>
                <w:spacing w:val="-6"/>
                <w:sz w:val="18"/>
              </w:rPr>
              <w:t>Špecifikácie</w:t>
            </w:r>
          </w:p>
        </w:tc>
        <w:tc>
          <w:tcPr>
            <w:tcW w:w="883" w:type="dxa"/>
            <w:tcMar>
              <w:left w:w="28" w:type="dxa"/>
              <w:right w:w="28" w:type="dxa"/>
            </w:tcMar>
          </w:tcPr>
          <w:p w14:paraId="36124863"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766FBCD4" w14:textId="77777777" w:rsidR="00F24F71" w:rsidRPr="00DE5E39" w:rsidRDefault="00F24F71" w:rsidP="005A52C7">
            <w:pPr>
              <w:ind w:right="-29"/>
              <w:jc w:val="center"/>
              <w:rPr>
                <w:noProof/>
                <w:spacing w:val="-6"/>
                <w:sz w:val="18"/>
                <w:szCs w:val="18"/>
                <w:highlight w:val="yellow"/>
              </w:rPr>
            </w:pPr>
          </w:p>
        </w:tc>
        <w:tc>
          <w:tcPr>
            <w:tcW w:w="685" w:type="dxa"/>
            <w:tcBorders>
              <w:right w:val="dashSmallGap" w:sz="4" w:space="0" w:color="auto"/>
            </w:tcBorders>
            <w:tcMar>
              <w:left w:w="28" w:type="dxa"/>
              <w:right w:w="28" w:type="dxa"/>
            </w:tcMar>
          </w:tcPr>
          <w:p w14:paraId="37ABFA11" w14:textId="77777777" w:rsidR="00F24F71" w:rsidRPr="00DE5E39" w:rsidRDefault="00F24F71" w:rsidP="005A52C7">
            <w:pPr>
              <w:ind w:right="-29"/>
              <w:jc w:val="center"/>
              <w:rPr>
                <w:noProof/>
                <w:spacing w:val="-6"/>
                <w:sz w:val="18"/>
                <w:szCs w:val="18"/>
                <w:highlight w:val="yellow"/>
              </w:rPr>
            </w:pPr>
          </w:p>
        </w:tc>
        <w:tc>
          <w:tcPr>
            <w:tcW w:w="758" w:type="dxa"/>
            <w:tcBorders>
              <w:left w:val="dashSmallGap" w:sz="4" w:space="0" w:color="auto"/>
            </w:tcBorders>
            <w:tcMar>
              <w:left w:w="28" w:type="dxa"/>
              <w:right w:w="28" w:type="dxa"/>
            </w:tcMar>
          </w:tcPr>
          <w:p w14:paraId="5BA52B20" w14:textId="77777777" w:rsidR="00F24F71" w:rsidRPr="00DE5E39" w:rsidRDefault="00F24F71" w:rsidP="005A52C7">
            <w:pPr>
              <w:ind w:right="-29"/>
              <w:jc w:val="center"/>
              <w:rPr>
                <w:noProof/>
                <w:spacing w:val="-6"/>
                <w:sz w:val="18"/>
                <w:szCs w:val="18"/>
                <w:highlight w:val="yellow"/>
              </w:rPr>
            </w:pPr>
          </w:p>
        </w:tc>
        <w:tc>
          <w:tcPr>
            <w:tcW w:w="614" w:type="dxa"/>
            <w:tcBorders>
              <w:right w:val="dashSmallGap" w:sz="4" w:space="0" w:color="auto"/>
            </w:tcBorders>
            <w:tcMar>
              <w:left w:w="28" w:type="dxa"/>
              <w:right w:w="28" w:type="dxa"/>
            </w:tcMar>
          </w:tcPr>
          <w:p w14:paraId="6A74595E" w14:textId="77777777" w:rsidR="00F24F71" w:rsidRPr="00DE5E39" w:rsidRDefault="00F24F71" w:rsidP="005A52C7">
            <w:pPr>
              <w:ind w:right="-29"/>
              <w:jc w:val="center"/>
              <w:rPr>
                <w:noProof/>
                <w:spacing w:val="-6"/>
                <w:sz w:val="18"/>
                <w:szCs w:val="18"/>
              </w:rPr>
            </w:pPr>
          </w:p>
        </w:tc>
        <w:tc>
          <w:tcPr>
            <w:tcW w:w="628" w:type="dxa"/>
            <w:tcBorders>
              <w:left w:val="dashSmallGap" w:sz="4" w:space="0" w:color="auto"/>
            </w:tcBorders>
            <w:tcMar>
              <w:left w:w="28" w:type="dxa"/>
              <w:right w:w="28" w:type="dxa"/>
            </w:tcMar>
          </w:tcPr>
          <w:p w14:paraId="0C9556D3" w14:textId="77777777" w:rsidR="00F24F71" w:rsidRPr="00DE5E39" w:rsidRDefault="00862EAB" w:rsidP="005A52C7">
            <w:pPr>
              <w:ind w:right="-29"/>
              <w:jc w:val="center"/>
              <w:rPr>
                <w:noProof/>
                <w:spacing w:val="-6"/>
                <w:sz w:val="18"/>
                <w:szCs w:val="18"/>
              </w:rPr>
            </w:pPr>
            <w:r w:rsidRPr="00DE5E39">
              <w:rPr>
                <w:noProof/>
                <w:spacing w:val="-6"/>
                <w:sz w:val="18"/>
              </w:rPr>
              <w:t>0,5</w:t>
            </w:r>
          </w:p>
        </w:tc>
        <w:tc>
          <w:tcPr>
            <w:tcW w:w="709" w:type="dxa"/>
            <w:tcBorders>
              <w:right w:val="dashSmallGap" w:sz="4" w:space="0" w:color="auto"/>
            </w:tcBorders>
            <w:tcMar>
              <w:left w:w="28" w:type="dxa"/>
              <w:right w:w="28" w:type="dxa"/>
            </w:tcMar>
          </w:tcPr>
          <w:p w14:paraId="583090CD" w14:textId="77777777" w:rsidR="00F24F71" w:rsidRPr="00DE5E39" w:rsidRDefault="00F24F71" w:rsidP="005A52C7">
            <w:pPr>
              <w:ind w:right="-29"/>
              <w:jc w:val="center"/>
              <w:rPr>
                <w:noProof/>
                <w:spacing w:val="-6"/>
                <w:sz w:val="18"/>
                <w:szCs w:val="18"/>
              </w:rPr>
            </w:pPr>
          </w:p>
        </w:tc>
        <w:tc>
          <w:tcPr>
            <w:tcW w:w="709" w:type="dxa"/>
            <w:tcBorders>
              <w:left w:val="dashSmallGap" w:sz="4" w:space="0" w:color="auto"/>
            </w:tcBorders>
            <w:tcMar>
              <w:left w:w="28" w:type="dxa"/>
              <w:right w:w="28" w:type="dxa"/>
            </w:tcMar>
          </w:tcPr>
          <w:p w14:paraId="5A2FF27F" w14:textId="77777777" w:rsidR="00F24F71" w:rsidRPr="00DE5E39" w:rsidRDefault="00F24F71" w:rsidP="005A52C7">
            <w:pPr>
              <w:ind w:right="-29"/>
              <w:jc w:val="center"/>
              <w:rPr>
                <w:noProof/>
                <w:spacing w:val="-6"/>
                <w:sz w:val="18"/>
                <w:szCs w:val="18"/>
              </w:rPr>
            </w:pPr>
          </w:p>
        </w:tc>
        <w:tc>
          <w:tcPr>
            <w:tcW w:w="567" w:type="dxa"/>
            <w:tcBorders>
              <w:right w:val="dashSmallGap" w:sz="4" w:space="0" w:color="auto"/>
            </w:tcBorders>
            <w:tcMar>
              <w:left w:w="28" w:type="dxa"/>
              <w:right w:w="28" w:type="dxa"/>
            </w:tcMar>
          </w:tcPr>
          <w:p w14:paraId="7C76CCCC" w14:textId="77777777" w:rsidR="00F24F71" w:rsidRPr="00DE5E39" w:rsidRDefault="00F24F71" w:rsidP="005A52C7">
            <w:pPr>
              <w:ind w:right="-29"/>
              <w:jc w:val="center"/>
              <w:rPr>
                <w:noProof/>
                <w:spacing w:val="-6"/>
                <w:sz w:val="18"/>
                <w:szCs w:val="18"/>
              </w:rPr>
            </w:pPr>
          </w:p>
        </w:tc>
        <w:tc>
          <w:tcPr>
            <w:tcW w:w="846" w:type="dxa"/>
            <w:tcBorders>
              <w:left w:val="dashSmallGap" w:sz="4" w:space="0" w:color="auto"/>
            </w:tcBorders>
            <w:tcMar>
              <w:left w:w="28" w:type="dxa"/>
              <w:right w:w="28" w:type="dxa"/>
            </w:tcMar>
          </w:tcPr>
          <w:p w14:paraId="749BA611" w14:textId="77777777" w:rsidR="00F24F71" w:rsidRPr="00DE5E39" w:rsidRDefault="00F24F71" w:rsidP="005A52C7">
            <w:pPr>
              <w:ind w:right="-29"/>
              <w:jc w:val="center"/>
              <w:rPr>
                <w:noProof/>
                <w:spacing w:val="-6"/>
                <w:sz w:val="18"/>
                <w:szCs w:val="18"/>
              </w:rPr>
            </w:pPr>
          </w:p>
        </w:tc>
        <w:tc>
          <w:tcPr>
            <w:tcW w:w="797" w:type="dxa"/>
            <w:tcMar>
              <w:left w:w="28" w:type="dxa"/>
              <w:right w:w="28" w:type="dxa"/>
            </w:tcMar>
          </w:tcPr>
          <w:p w14:paraId="123ED30A"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0F32D9AA" w14:textId="77777777" w:rsidR="00F24F71" w:rsidRPr="00DE5E39" w:rsidRDefault="00EB6CF6" w:rsidP="005A52C7">
            <w:pPr>
              <w:ind w:right="-29"/>
              <w:jc w:val="center"/>
              <w:rPr>
                <w:b/>
                <w:bCs/>
                <w:noProof/>
                <w:spacing w:val="-6"/>
                <w:sz w:val="18"/>
                <w:szCs w:val="18"/>
              </w:rPr>
            </w:pPr>
            <w:r w:rsidRPr="00DE5E39">
              <w:rPr>
                <w:b/>
                <w:noProof/>
                <w:spacing w:val="-6"/>
                <w:sz w:val="18"/>
              </w:rPr>
              <w:t>0,5</w:t>
            </w:r>
          </w:p>
        </w:tc>
      </w:tr>
      <w:tr w:rsidR="00F24F71" w:rsidRPr="00DE5E39" w14:paraId="6505E9D5" w14:textId="77777777" w:rsidTr="00DE5E39">
        <w:trPr>
          <w:trHeight w:val="369"/>
        </w:trPr>
        <w:tc>
          <w:tcPr>
            <w:tcW w:w="1271" w:type="dxa"/>
            <w:tcMar>
              <w:left w:w="28" w:type="dxa"/>
              <w:right w:w="28" w:type="dxa"/>
            </w:tcMar>
          </w:tcPr>
          <w:p w14:paraId="0105FD85" w14:textId="77777777" w:rsidR="00F24F71" w:rsidRPr="00DE5E39" w:rsidRDefault="00F24F71" w:rsidP="005A52C7">
            <w:pPr>
              <w:ind w:right="-29"/>
              <w:jc w:val="center"/>
              <w:rPr>
                <w:noProof/>
                <w:spacing w:val="-6"/>
                <w:sz w:val="18"/>
                <w:szCs w:val="18"/>
              </w:rPr>
            </w:pPr>
            <w:r w:rsidRPr="00DE5E39">
              <w:rPr>
                <w:noProof/>
                <w:spacing w:val="-6"/>
                <w:sz w:val="18"/>
              </w:rPr>
              <w:t>Vývoj</w:t>
            </w:r>
          </w:p>
        </w:tc>
        <w:tc>
          <w:tcPr>
            <w:tcW w:w="883" w:type="dxa"/>
            <w:tcMar>
              <w:left w:w="28" w:type="dxa"/>
              <w:right w:w="28" w:type="dxa"/>
            </w:tcMar>
          </w:tcPr>
          <w:p w14:paraId="5DDB7CEE"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48549758" w14:textId="77777777" w:rsidR="00F24F71" w:rsidRPr="00DE5E39" w:rsidRDefault="00F24F71" w:rsidP="005A52C7">
            <w:pPr>
              <w:ind w:right="-29"/>
              <w:jc w:val="center"/>
              <w:rPr>
                <w:noProof/>
                <w:spacing w:val="-6"/>
                <w:sz w:val="18"/>
                <w:szCs w:val="18"/>
                <w:highlight w:val="yellow"/>
              </w:rPr>
            </w:pPr>
          </w:p>
        </w:tc>
        <w:tc>
          <w:tcPr>
            <w:tcW w:w="685" w:type="dxa"/>
            <w:tcBorders>
              <w:right w:val="dashSmallGap" w:sz="4" w:space="0" w:color="auto"/>
            </w:tcBorders>
            <w:tcMar>
              <w:left w:w="28" w:type="dxa"/>
              <w:right w:w="28" w:type="dxa"/>
            </w:tcMar>
          </w:tcPr>
          <w:p w14:paraId="703EEAF3" w14:textId="77777777" w:rsidR="00F24F71" w:rsidRPr="00DE5E39" w:rsidRDefault="00F24F71" w:rsidP="005A52C7">
            <w:pPr>
              <w:ind w:right="-29"/>
              <w:jc w:val="center"/>
              <w:rPr>
                <w:noProof/>
                <w:spacing w:val="-6"/>
                <w:sz w:val="18"/>
                <w:szCs w:val="18"/>
                <w:highlight w:val="yellow"/>
              </w:rPr>
            </w:pPr>
          </w:p>
        </w:tc>
        <w:tc>
          <w:tcPr>
            <w:tcW w:w="758" w:type="dxa"/>
            <w:tcBorders>
              <w:left w:val="dashSmallGap" w:sz="4" w:space="0" w:color="auto"/>
            </w:tcBorders>
            <w:tcMar>
              <w:left w:w="28" w:type="dxa"/>
              <w:right w:w="28" w:type="dxa"/>
            </w:tcMar>
          </w:tcPr>
          <w:p w14:paraId="38C86044" w14:textId="77777777" w:rsidR="00F24F71" w:rsidRPr="00DE5E39" w:rsidRDefault="00F24F71" w:rsidP="005A52C7">
            <w:pPr>
              <w:ind w:right="-29"/>
              <w:jc w:val="center"/>
              <w:rPr>
                <w:noProof/>
                <w:spacing w:val="-6"/>
                <w:sz w:val="18"/>
                <w:szCs w:val="18"/>
                <w:highlight w:val="yellow"/>
              </w:rPr>
            </w:pPr>
          </w:p>
        </w:tc>
        <w:tc>
          <w:tcPr>
            <w:tcW w:w="614" w:type="dxa"/>
            <w:tcBorders>
              <w:right w:val="dashSmallGap" w:sz="4" w:space="0" w:color="auto"/>
            </w:tcBorders>
            <w:tcMar>
              <w:left w:w="28" w:type="dxa"/>
              <w:right w:w="28" w:type="dxa"/>
            </w:tcMar>
          </w:tcPr>
          <w:p w14:paraId="7A21F16F" w14:textId="77777777" w:rsidR="00F24F71" w:rsidRPr="00DE5E39" w:rsidRDefault="00F24F71" w:rsidP="005A52C7">
            <w:pPr>
              <w:ind w:right="-29"/>
              <w:jc w:val="center"/>
              <w:rPr>
                <w:noProof/>
                <w:spacing w:val="-6"/>
                <w:sz w:val="18"/>
                <w:szCs w:val="18"/>
              </w:rPr>
            </w:pPr>
          </w:p>
        </w:tc>
        <w:tc>
          <w:tcPr>
            <w:tcW w:w="628" w:type="dxa"/>
            <w:tcBorders>
              <w:left w:val="dashSmallGap" w:sz="4" w:space="0" w:color="auto"/>
            </w:tcBorders>
            <w:tcMar>
              <w:left w:w="28" w:type="dxa"/>
              <w:right w:w="28" w:type="dxa"/>
            </w:tcMar>
          </w:tcPr>
          <w:p w14:paraId="03381C46" w14:textId="77777777" w:rsidR="00F24F71" w:rsidRPr="00DE5E39" w:rsidRDefault="001C358F" w:rsidP="005A52C7">
            <w:pPr>
              <w:ind w:right="-29"/>
              <w:jc w:val="center"/>
              <w:rPr>
                <w:noProof/>
                <w:spacing w:val="-6"/>
                <w:sz w:val="18"/>
                <w:szCs w:val="18"/>
              </w:rPr>
            </w:pPr>
            <w:r w:rsidRPr="00DE5E39">
              <w:rPr>
                <w:noProof/>
                <w:spacing w:val="-6"/>
                <w:sz w:val="18"/>
              </w:rPr>
              <w:t>1,0</w:t>
            </w:r>
          </w:p>
        </w:tc>
        <w:tc>
          <w:tcPr>
            <w:tcW w:w="709" w:type="dxa"/>
            <w:tcBorders>
              <w:right w:val="dashSmallGap" w:sz="4" w:space="0" w:color="auto"/>
            </w:tcBorders>
            <w:tcMar>
              <w:left w:w="28" w:type="dxa"/>
              <w:right w:w="28" w:type="dxa"/>
            </w:tcMar>
          </w:tcPr>
          <w:p w14:paraId="1AA1611B" w14:textId="77777777" w:rsidR="00F24F71" w:rsidRPr="00DE5E39" w:rsidRDefault="00F24F71" w:rsidP="005A52C7">
            <w:pPr>
              <w:ind w:right="-29"/>
              <w:jc w:val="center"/>
              <w:rPr>
                <w:noProof/>
                <w:spacing w:val="-6"/>
                <w:sz w:val="18"/>
                <w:szCs w:val="18"/>
              </w:rPr>
            </w:pPr>
          </w:p>
        </w:tc>
        <w:tc>
          <w:tcPr>
            <w:tcW w:w="709" w:type="dxa"/>
            <w:tcBorders>
              <w:left w:val="dashSmallGap" w:sz="4" w:space="0" w:color="auto"/>
            </w:tcBorders>
            <w:tcMar>
              <w:left w:w="28" w:type="dxa"/>
              <w:right w:w="28" w:type="dxa"/>
            </w:tcMar>
          </w:tcPr>
          <w:p w14:paraId="3C16FAB7" w14:textId="77777777" w:rsidR="00F24F71" w:rsidRPr="00DE5E39" w:rsidRDefault="00F24F71" w:rsidP="005A52C7">
            <w:pPr>
              <w:ind w:right="-29"/>
              <w:jc w:val="center"/>
              <w:rPr>
                <w:noProof/>
                <w:spacing w:val="-6"/>
                <w:sz w:val="18"/>
                <w:szCs w:val="18"/>
              </w:rPr>
            </w:pPr>
          </w:p>
        </w:tc>
        <w:tc>
          <w:tcPr>
            <w:tcW w:w="567" w:type="dxa"/>
            <w:tcBorders>
              <w:right w:val="dashSmallGap" w:sz="4" w:space="0" w:color="auto"/>
            </w:tcBorders>
            <w:tcMar>
              <w:left w:w="28" w:type="dxa"/>
              <w:right w:w="28" w:type="dxa"/>
            </w:tcMar>
          </w:tcPr>
          <w:p w14:paraId="589D07E9" w14:textId="77777777" w:rsidR="00F24F71" w:rsidRPr="00DE5E39" w:rsidRDefault="00F24F71" w:rsidP="005A52C7">
            <w:pPr>
              <w:ind w:right="-29"/>
              <w:jc w:val="center"/>
              <w:rPr>
                <w:noProof/>
                <w:spacing w:val="-6"/>
                <w:sz w:val="18"/>
                <w:szCs w:val="18"/>
              </w:rPr>
            </w:pPr>
          </w:p>
        </w:tc>
        <w:tc>
          <w:tcPr>
            <w:tcW w:w="846" w:type="dxa"/>
            <w:tcBorders>
              <w:left w:val="dashSmallGap" w:sz="4" w:space="0" w:color="auto"/>
            </w:tcBorders>
            <w:tcMar>
              <w:left w:w="28" w:type="dxa"/>
              <w:right w:w="28" w:type="dxa"/>
            </w:tcMar>
          </w:tcPr>
          <w:p w14:paraId="1B454FC9" w14:textId="77777777" w:rsidR="00F24F71" w:rsidRPr="00DE5E39" w:rsidRDefault="00F24F71" w:rsidP="005A52C7">
            <w:pPr>
              <w:ind w:right="-29"/>
              <w:jc w:val="center"/>
              <w:rPr>
                <w:noProof/>
                <w:spacing w:val="-6"/>
                <w:sz w:val="18"/>
                <w:szCs w:val="18"/>
              </w:rPr>
            </w:pPr>
          </w:p>
        </w:tc>
        <w:tc>
          <w:tcPr>
            <w:tcW w:w="797" w:type="dxa"/>
            <w:tcMar>
              <w:left w:w="28" w:type="dxa"/>
              <w:right w:w="28" w:type="dxa"/>
            </w:tcMar>
          </w:tcPr>
          <w:p w14:paraId="4D129933"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5D8C28CB" w14:textId="77777777" w:rsidR="00F24F71" w:rsidRPr="00DE5E39" w:rsidRDefault="00EB6CF6" w:rsidP="005A52C7">
            <w:pPr>
              <w:ind w:right="-29"/>
              <w:jc w:val="center"/>
              <w:rPr>
                <w:b/>
                <w:bCs/>
                <w:noProof/>
                <w:spacing w:val="-6"/>
                <w:sz w:val="18"/>
                <w:szCs w:val="18"/>
              </w:rPr>
            </w:pPr>
            <w:r w:rsidRPr="00DE5E39">
              <w:rPr>
                <w:b/>
                <w:noProof/>
                <w:spacing w:val="-6"/>
                <w:sz w:val="18"/>
              </w:rPr>
              <w:t>1,0</w:t>
            </w:r>
          </w:p>
        </w:tc>
      </w:tr>
      <w:tr w:rsidR="00F24F71" w:rsidRPr="00DE5E39" w14:paraId="1CC46418" w14:textId="77777777" w:rsidTr="00DE5E39">
        <w:trPr>
          <w:trHeight w:val="521"/>
        </w:trPr>
        <w:tc>
          <w:tcPr>
            <w:tcW w:w="1271" w:type="dxa"/>
            <w:tcMar>
              <w:left w:w="28" w:type="dxa"/>
              <w:right w:w="28" w:type="dxa"/>
            </w:tcMar>
          </w:tcPr>
          <w:p w14:paraId="2EE87469" w14:textId="77777777" w:rsidR="00F24F71" w:rsidRPr="00DE5E39" w:rsidRDefault="00F24F71" w:rsidP="005A52C7">
            <w:pPr>
              <w:ind w:right="-29"/>
              <w:jc w:val="center"/>
              <w:rPr>
                <w:noProof/>
                <w:spacing w:val="-6"/>
                <w:sz w:val="18"/>
                <w:szCs w:val="18"/>
              </w:rPr>
            </w:pPr>
            <w:r w:rsidRPr="00DE5E39">
              <w:rPr>
                <w:noProof/>
                <w:spacing w:val="-6"/>
                <w:sz w:val="18"/>
              </w:rPr>
              <w:t>Údržba</w:t>
            </w:r>
          </w:p>
        </w:tc>
        <w:tc>
          <w:tcPr>
            <w:tcW w:w="883" w:type="dxa"/>
            <w:tcMar>
              <w:left w:w="28" w:type="dxa"/>
              <w:right w:w="28" w:type="dxa"/>
            </w:tcMar>
          </w:tcPr>
          <w:p w14:paraId="26C6A66E"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2DEB8BF9"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4065AA45"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1741F89A"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58EAF620"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48F0FCB8"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601C098A"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2EA6E626" w14:textId="77777777" w:rsidR="00F24F71" w:rsidRPr="00DE5E39" w:rsidRDefault="003D4E95" w:rsidP="005A52C7">
            <w:pPr>
              <w:ind w:right="-29"/>
              <w:jc w:val="center"/>
              <w:rPr>
                <w:noProof/>
                <w:spacing w:val="-6"/>
                <w:sz w:val="18"/>
                <w:szCs w:val="18"/>
              </w:rPr>
            </w:pPr>
            <w:r w:rsidRPr="00DE5E39">
              <w:rPr>
                <w:noProof/>
                <w:spacing w:val="-6"/>
                <w:sz w:val="18"/>
              </w:rPr>
              <w:t>0,2</w:t>
            </w:r>
          </w:p>
        </w:tc>
        <w:tc>
          <w:tcPr>
            <w:tcW w:w="567" w:type="dxa"/>
            <w:tcMar>
              <w:left w:w="28" w:type="dxa"/>
              <w:right w:w="28" w:type="dxa"/>
            </w:tcMar>
          </w:tcPr>
          <w:p w14:paraId="53D812AD"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23514CA5" w14:textId="77777777" w:rsidR="00F24F71" w:rsidRPr="00DE5E39" w:rsidRDefault="003D4E95" w:rsidP="005A52C7">
            <w:pPr>
              <w:ind w:right="-29"/>
              <w:jc w:val="center"/>
              <w:rPr>
                <w:noProof/>
                <w:spacing w:val="-6"/>
                <w:sz w:val="18"/>
                <w:szCs w:val="18"/>
              </w:rPr>
            </w:pPr>
            <w:r w:rsidRPr="00DE5E39">
              <w:rPr>
                <w:noProof/>
                <w:spacing w:val="-6"/>
                <w:sz w:val="18"/>
              </w:rPr>
              <w:t>0,1</w:t>
            </w:r>
          </w:p>
        </w:tc>
        <w:tc>
          <w:tcPr>
            <w:tcW w:w="797" w:type="dxa"/>
            <w:tcMar>
              <w:left w:w="28" w:type="dxa"/>
              <w:right w:w="28" w:type="dxa"/>
            </w:tcMar>
          </w:tcPr>
          <w:p w14:paraId="00F60899"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79B480F6" w14:textId="77777777" w:rsidR="00F24F71" w:rsidRPr="00DE5E39" w:rsidRDefault="00EB6CF6" w:rsidP="005A52C7">
            <w:pPr>
              <w:ind w:right="-29"/>
              <w:jc w:val="center"/>
              <w:rPr>
                <w:b/>
                <w:bCs/>
                <w:noProof/>
                <w:spacing w:val="-6"/>
                <w:sz w:val="18"/>
                <w:szCs w:val="18"/>
              </w:rPr>
            </w:pPr>
            <w:r w:rsidRPr="00DE5E39">
              <w:rPr>
                <w:b/>
                <w:noProof/>
                <w:spacing w:val="-6"/>
                <w:sz w:val="18"/>
              </w:rPr>
              <w:t>0,3</w:t>
            </w:r>
          </w:p>
        </w:tc>
      </w:tr>
      <w:tr w:rsidR="00F24F71" w:rsidRPr="00DE5E39" w14:paraId="68D088BC" w14:textId="77777777" w:rsidTr="00DE5E39">
        <w:trPr>
          <w:trHeight w:val="369"/>
        </w:trPr>
        <w:tc>
          <w:tcPr>
            <w:tcW w:w="1271" w:type="dxa"/>
            <w:tcMar>
              <w:left w:w="28" w:type="dxa"/>
              <w:right w:w="28" w:type="dxa"/>
            </w:tcMar>
          </w:tcPr>
          <w:p w14:paraId="35409C00" w14:textId="77777777" w:rsidR="00F24F71" w:rsidRPr="00DE5E39" w:rsidRDefault="00F24F71" w:rsidP="005A52C7">
            <w:pPr>
              <w:ind w:right="-29"/>
              <w:jc w:val="center"/>
              <w:rPr>
                <w:noProof/>
                <w:spacing w:val="-6"/>
                <w:sz w:val="18"/>
              </w:rPr>
            </w:pPr>
            <w:r w:rsidRPr="00DE5E39">
              <w:rPr>
                <w:noProof/>
                <w:spacing w:val="-6"/>
                <w:sz w:val="18"/>
              </w:rPr>
              <w:t>Podpora</w:t>
            </w:r>
          </w:p>
        </w:tc>
        <w:tc>
          <w:tcPr>
            <w:tcW w:w="883" w:type="dxa"/>
            <w:tcMar>
              <w:left w:w="28" w:type="dxa"/>
              <w:right w:w="28" w:type="dxa"/>
            </w:tcMar>
          </w:tcPr>
          <w:p w14:paraId="0AAD7715"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3BBE1441"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061BE13A"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769C18DA"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5D725888"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06BB44A2" w14:textId="77777777" w:rsidR="00F24F71" w:rsidRPr="00DE5E39" w:rsidRDefault="003D4E95" w:rsidP="005A52C7">
            <w:pPr>
              <w:ind w:right="-29"/>
              <w:jc w:val="center"/>
              <w:rPr>
                <w:noProof/>
                <w:spacing w:val="-6"/>
                <w:sz w:val="18"/>
                <w:szCs w:val="18"/>
              </w:rPr>
            </w:pPr>
            <w:r w:rsidRPr="00DE5E39">
              <w:rPr>
                <w:noProof/>
                <w:spacing w:val="-6"/>
                <w:sz w:val="18"/>
              </w:rPr>
              <w:t>0,3</w:t>
            </w:r>
          </w:p>
        </w:tc>
        <w:tc>
          <w:tcPr>
            <w:tcW w:w="709" w:type="dxa"/>
            <w:tcMar>
              <w:left w:w="28" w:type="dxa"/>
              <w:right w:w="28" w:type="dxa"/>
            </w:tcMar>
          </w:tcPr>
          <w:p w14:paraId="5944AB8E"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3A7642F9" w14:textId="77777777" w:rsidR="00F24F71" w:rsidRPr="00DE5E39" w:rsidRDefault="003D4E95" w:rsidP="005A52C7">
            <w:pPr>
              <w:ind w:right="-29"/>
              <w:jc w:val="center"/>
              <w:rPr>
                <w:noProof/>
                <w:spacing w:val="-6"/>
                <w:sz w:val="18"/>
                <w:szCs w:val="18"/>
              </w:rPr>
            </w:pPr>
            <w:r w:rsidRPr="00DE5E39">
              <w:rPr>
                <w:noProof/>
                <w:spacing w:val="-6"/>
                <w:sz w:val="18"/>
              </w:rPr>
              <w:t>0,35</w:t>
            </w:r>
          </w:p>
        </w:tc>
        <w:tc>
          <w:tcPr>
            <w:tcW w:w="567" w:type="dxa"/>
            <w:tcMar>
              <w:left w:w="28" w:type="dxa"/>
              <w:right w:w="28" w:type="dxa"/>
            </w:tcMar>
          </w:tcPr>
          <w:p w14:paraId="65F422DF"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61EAABBD" w14:textId="77777777" w:rsidR="00F24F71" w:rsidRPr="00DE5E39" w:rsidRDefault="003D4E95" w:rsidP="005A52C7">
            <w:pPr>
              <w:ind w:right="-29"/>
              <w:jc w:val="center"/>
              <w:rPr>
                <w:noProof/>
                <w:spacing w:val="-6"/>
                <w:sz w:val="18"/>
                <w:szCs w:val="18"/>
              </w:rPr>
            </w:pPr>
            <w:r w:rsidRPr="00DE5E39">
              <w:rPr>
                <w:noProof/>
                <w:spacing w:val="-6"/>
                <w:sz w:val="18"/>
              </w:rPr>
              <w:t>0,15</w:t>
            </w:r>
          </w:p>
        </w:tc>
        <w:tc>
          <w:tcPr>
            <w:tcW w:w="797" w:type="dxa"/>
            <w:tcMar>
              <w:left w:w="28" w:type="dxa"/>
              <w:right w:w="28" w:type="dxa"/>
            </w:tcMar>
          </w:tcPr>
          <w:p w14:paraId="02CB4CA1"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4C475D3B" w14:textId="77777777" w:rsidR="00F24F71" w:rsidRPr="00DE5E39" w:rsidRDefault="00EB6CF6" w:rsidP="005A52C7">
            <w:pPr>
              <w:ind w:right="-29"/>
              <w:jc w:val="center"/>
              <w:rPr>
                <w:b/>
                <w:bCs/>
                <w:noProof/>
                <w:spacing w:val="-6"/>
                <w:sz w:val="18"/>
                <w:szCs w:val="18"/>
              </w:rPr>
            </w:pPr>
            <w:r w:rsidRPr="00DE5E39">
              <w:rPr>
                <w:b/>
                <w:noProof/>
                <w:spacing w:val="-6"/>
                <w:sz w:val="18"/>
              </w:rPr>
              <w:t>0,8</w:t>
            </w:r>
          </w:p>
        </w:tc>
      </w:tr>
      <w:tr w:rsidR="00F24F71" w:rsidRPr="00DE5E39" w14:paraId="725144AF" w14:textId="77777777" w:rsidTr="00DE5E39">
        <w:trPr>
          <w:trHeight w:val="369"/>
        </w:trPr>
        <w:tc>
          <w:tcPr>
            <w:tcW w:w="1271" w:type="dxa"/>
            <w:tcMar>
              <w:left w:w="28" w:type="dxa"/>
              <w:right w:w="28" w:type="dxa"/>
            </w:tcMar>
          </w:tcPr>
          <w:p w14:paraId="231A7F26" w14:textId="77777777" w:rsidR="00F24F71" w:rsidRPr="00DE5E39" w:rsidRDefault="00F24F71" w:rsidP="005A52C7">
            <w:pPr>
              <w:ind w:right="-29"/>
              <w:jc w:val="center"/>
              <w:rPr>
                <w:noProof/>
                <w:spacing w:val="-6"/>
                <w:sz w:val="18"/>
              </w:rPr>
            </w:pPr>
            <w:r w:rsidRPr="00DE5E39">
              <w:rPr>
                <w:noProof/>
                <w:spacing w:val="-6"/>
                <w:sz w:val="18"/>
              </w:rPr>
              <w:t>Odborná príprava</w:t>
            </w:r>
          </w:p>
        </w:tc>
        <w:tc>
          <w:tcPr>
            <w:tcW w:w="883" w:type="dxa"/>
            <w:tcMar>
              <w:left w:w="28" w:type="dxa"/>
              <w:right w:w="28" w:type="dxa"/>
            </w:tcMar>
          </w:tcPr>
          <w:p w14:paraId="4A8C8908"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0C71C28A"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0340D851"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69B74708"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372CF32C"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5279B3BA" w14:textId="77777777" w:rsidR="00F24F71" w:rsidRPr="00DE5E39" w:rsidRDefault="001C358F" w:rsidP="005A52C7">
            <w:pPr>
              <w:ind w:right="-29"/>
              <w:jc w:val="center"/>
              <w:rPr>
                <w:noProof/>
                <w:spacing w:val="-6"/>
                <w:sz w:val="18"/>
                <w:szCs w:val="18"/>
              </w:rPr>
            </w:pPr>
            <w:r w:rsidRPr="00DE5E39">
              <w:rPr>
                <w:noProof/>
                <w:spacing w:val="-6"/>
                <w:sz w:val="18"/>
              </w:rPr>
              <w:t>0,4</w:t>
            </w:r>
          </w:p>
        </w:tc>
        <w:tc>
          <w:tcPr>
            <w:tcW w:w="709" w:type="dxa"/>
            <w:tcMar>
              <w:left w:w="28" w:type="dxa"/>
              <w:right w:w="28" w:type="dxa"/>
            </w:tcMar>
          </w:tcPr>
          <w:p w14:paraId="21F0D11F"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2E9350FA" w14:textId="77777777" w:rsidR="00F24F71" w:rsidRPr="00DE5E39" w:rsidRDefault="00F24F71" w:rsidP="005A52C7">
            <w:pPr>
              <w:ind w:right="-29"/>
              <w:jc w:val="center"/>
              <w:rPr>
                <w:noProof/>
                <w:spacing w:val="-6"/>
                <w:sz w:val="18"/>
                <w:szCs w:val="18"/>
              </w:rPr>
            </w:pPr>
          </w:p>
        </w:tc>
        <w:tc>
          <w:tcPr>
            <w:tcW w:w="567" w:type="dxa"/>
            <w:tcMar>
              <w:left w:w="28" w:type="dxa"/>
              <w:right w:w="28" w:type="dxa"/>
            </w:tcMar>
          </w:tcPr>
          <w:p w14:paraId="649661EE"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7837E2DD" w14:textId="77777777" w:rsidR="00F24F71" w:rsidRPr="00DE5E39" w:rsidRDefault="00F24F71" w:rsidP="005A52C7">
            <w:pPr>
              <w:ind w:right="-29"/>
              <w:jc w:val="center"/>
              <w:rPr>
                <w:noProof/>
                <w:spacing w:val="-6"/>
                <w:sz w:val="18"/>
                <w:szCs w:val="18"/>
              </w:rPr>
            </w:pPr>
          </w:p>
        </w:tc>
        <w:tc>
          <w:tcPr>
            <w:tcW w:w="797" w:type="dxa"/>
            <w:tcMar>
              <w:left w:w="28" w:type="dxa"/>
              <w:right w:w="28" w:type="dxa"/>
            </w:tcMar>
          </w:tcPr>
          <w:p w14:paraId="13073EB6"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17FD7A80" w14:textId="77777777" w:rsidR="00F24F71" w:rsidRPr="00DE5E39" w:rsidRDefault="000D07F0" w:rsidP="005A52C7">
            <w:pPr>
              <w:ind w:right="-29"/>
              <w:jc w:val="center"/>
              <w:rPr>
                <w:b/>
                <w:bCs/>
                <w:noProof/>
                <w:spacing w:val="-6"/>
                <w:sz w:val="18"/>
                <w:szCs w:val="18"/>
              </w:rPr>
            </w:pPr>
            <w:r w:rsidRPr="00DE5E39">
              <w:rPr>
                <w:b/>
                <w:noProof/>
                <w:spacing w:val="-6"/>
                <w:sz w:val="18"/>
              </w:rPr>
              <w:t>0,4</w:t>
            </w:r>
          </w:p>
        </w:tc>
      </w:tr>
      <w:tr w:rsidR="00F24F71" w:rsidRPr="00DE5E39" w14:paraId="033972AA" w14:textId="77777777" w:rsidTr="00DE5E39">
        <w:trPr>
          <w:trHeight w:val="369"/>
        </w:trPr>
        <w:tc>
          <w:tcPr>
            <w:tcW w:w="1271" w:type="dxa"/>
            <w:tcMar>
              <w:left w:w="28" w:type="dxa"/>
              <w:right w:w="28" w:type="dxa"/>
            </w:tcMar>
          </w:tcPr>
          <w:p w14:paraId="32C4D2A7" w14:textId="77777777" w:rsidR="00F24F71" w:rsidRPr="00DE5E39" w:rsidRDefault="00F24F71" w:rsidP="005A52C7">
            <w:pPr>
              <w:ind w:right="-29"/>
              <w:jc w:val="center"/>
              <w:rPr>
                <w:noProof/>
                <w:spacing w:val="-6"/>
                <w:sz w:val="18"/>
              </w:rPr>
            </w:pPr>
            <w:r w:rsidRPr="00DE5E39">
              <w:rPr>
                <w:noProof/>
                <w:spacing w:val="-6"/>
                <w:sz w:val="18"/>
              </w:rPr>
              <w:t>Infraštruktúra ITSM</w:t>
            </w:r>
          </w:p>
        </w:tc>
        <w:tc>
          <w:tcPr>
            <w:tcW w:w="883" w:type="dxa"/>
            <w:tcMar>
              <w:left w:w="28" w:type="dxa"/>
              <w:right w:w="28" w:type="dxa"/>
            </w:tcMar>
          </w:tcPr>
          <w:p w14:paraId="43D22BDB"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70E94C91"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412B58FA"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370143DD"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46955558"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69F7E590" w14:textId="77777777" w:rsidR="00F24F71" w:rsidRPr="00DE5E39" w:rsidRDefault="00465A11" w:rsidP="005A52C7">
            <w:pPr>
              <w:ind w:right="-29"/>
              <w:jc w:val="center"/>
              <w:rPr>
                <w:noProof/>
                <w:spacing w:val="-6"/>
                <w:sz w:val="18"/>
                <w:szCs w:val="18"/>
              </w:rPr>
            </w:pPr>
            <w:r w:rsidRPr="00DE5E39">
              <w:rPr>
                <w:noProof/>
                <w:spacing w:val="-6"/>
                <w:sz w:val="18"/>
              </w:rPr>
              <w:t>0,1</w:t>
            </w:r>
          </w:p>
        </w:tc>
        <w:tc>
          <w:tcPr>
            <w:tcW w:w="709" w:type="dxa"/>
            <w:tcMar>
              <w:left w:w="28" w:type="dxa"/>
              <w:right w:w="28" w:type="dxa"/>
            </w:tcMar>
          </w:tcPr>
          <w:p w14:paraId="662EA1EC"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2606C80F" w14:textId="77777777" w:rsidR="00F24F71" w:rsidRPr="00DE5E39" w:rsidRDefault="00465A11" w:rsidP="005A52C7">
            <w:pPr>
              <w:ind w:right="-29"/>
              <w:jc w:val="center"/>
              <w:rPr>
                <w:noProof/>
                <w:spacing w:val="-6"/>
                <w:sz w:val="18"/>
                <w:szCs w:val="18"/>
              </w:rPr>
            </w:pPr>
            <w:r w:rsidRPr="00DE5E39">
              <w:rPr>
                <w:noProof/>
                <w:spacing w:val="-6"/>
                <w:sz w:val="18"/>
              </w:rPr>
              <w:t>0,1</w:t>
            </w:r>
          </w:p>
        </w:tc>
        <w:tc>
          <w:tcPr>
            <w:tcW w:w="567" w:type="dxa"/>
            <w:tcMar>
              <w:left w:w="28" w:type="dxa"/>
              <w:right w:w="28" w:type="dxa"/>
            </w:tcMar>
          </w:tcPr>
          <w:p w14:paraId="6D359B72"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3C9966DD" w14:textId="77777777" w:rsidR="00F24F71" w:rsidRPr="00DE5E39" w:rsidRDefault="00465A11" w:rsidP="005A52C7">
            <w:pPr>
              <w:ind w:right="-29"/>
              <w:jc w:val="center"/>
              <w:rPr>
                <w:noProof/>
                <w:spacing w:val="-6"/>
                <w:sz w:val="18"/>
                <w:szCs w:val="18"/>
              </w:rPr>
            </w:pPr>
            <w:r w:rsidRPr="00DE5E39">
              <w:rPr>
                <w:noProof/>
                <w:spacing w:val="-6"/>
                <w:sz w:val="18"/>
              </w:rPr>
              <w:t>0,1</w:t>
            </w:r>
          </w:p>
        </w:tc>
        <w:tc>
          <w:tcPr>
            <w:tcW w:w="797" w:type="dxa"/>
            <w:tcMar>
              <w:left w:w="28" w:type="dxa"/>
              <w:right w:w="28" w:type="dxa"/>
            </w:tcMar>
          </w:tcPr>
          <w:p w14:paraId="640C0F43"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3DB27B85" w14:textId="77777777" w:rsidR="00F24F71" w:rsidRPr="00DE5E39" w:rsidRDefault="000D07F0" w:rsidP="005A52C7">
            <w:pPr>
              <w:ind w:right="-29"/>
              <w:jc w:val="center"/>
              <w:rPr>
                <w:b/>
                <w:bCs/>
                <w:noProof/>
                <w:spacing w:val="-6"/>
                <w:sz w:val="18"/>
                <w:szCs w:val="18"/>
              </w:rPr>
            </w:pPr>
            <w:r w:rsidRPr="00DE5E39">
              <w:rPr>
                <w:b/>
                <w:noProof/>
                <w:spacing w:val="-6"/>
                <w:sz w:val="18"/>
              </w:rPr>
              <w:t>0,3</w:t>
            </w:r>
          </w:p>
        </w:tc>
      </w:tr>
      <w:tr w:rsidR="00F24F71" w:rsidRPr="00DE5E39" w14:paraId="1E4321E4" w14:textId="77777777" w:rsidTr="00DE5E39">
        <w:trPr>
          <w:trHeight w:val="369"/>
        </w:trPr>
        <w:tc>
          <w:tcPr>
            <w:tcW w:w="1271" w:type="dxa"/>
            <w:tcMar>
              <w:left w:w="28" w:type="dxa"/>
              <w:right w:w="28" w:type="dxa"/>
            </w:tcMar>
          </w:tcPr>
          <w:p w14:paraId="4DF092F6" w14:textId="77777777" w:rsidR="00F24F71" w:rsidRPr="00DE5E39" w:rsidRDefault="00F24F71" w:rsidP="005A52C7">
            <w:pPr>
              <w:ind w:right="-29"/>
              <w:jc w:val="center"/>
              <w:rPr>
                <w:noProof/>
                <w:spacing w:val="-6"/>
                <w:sz w:val="18"/>
              </w:rPr>
            </w:pPr>
            <w:r w:rsidRPr="00DE5E39">
              <w:rPr>
                <w:noProof/>
                <w:spacing w:val="-6"/>
                <w:sz w:val="18"/>
              </w:rPr>
              <w:t>Riadenie IT služieb – hosting</w:t>
            </w:r>
          </w:p>
        </w:tc>
        <w:tc>
          <w:tcPr>
            <w:tcW w:w="883" w:type="dxa"/>
            <w:tcMar>
              <w:left w:w="28" w:type="dxa"/>
              <w:right w:w="28" w:type="dxa"/>
            </w:tcMar>
          </w:tcPr>
          <w:p w14:paraId="2142D1D8"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1B791A39"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0FEFAC84"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78B9F314"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10AF5023"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30A20A95"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537CD4FD"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7703C619" w14:textId="77777777" w:rsidR="00F24F71" w:rsidRPr="00DE5E39" w:rsidRDefault="00F24F71" w:rsidP="005A52C7">
            <w:pPr>
              <w:ind w:right="-29"/>
              <w:jc w:val="center"/>
              <w:rPr>
                <w:noProof/>
                <w:spacing w:val="-6"/>
                <w:sz w:val="18"/>
                <w:szCs w:val="18"/>
              </w:rPr>
            </w:pPr>
          </w:p>
        </w:tc>
        <w:tc>
          <w:tcPr>
            <w:tcW w:w="567" w:type="dxa"/>
            <w:tcMar>
              <w:left w:w="28" w:type="dxa"/>
              <w:right w:w="28" w:type="dxa"/>
            </w:tcMar>
          </w:tcPr>
          <w:p w14:paraId="66D3A544"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60780907" w14:textId="77777777" w:rsidR="00F24F71" w:rsidRPr="00DE5E39" w:rsidRDefault="00F24F71" w:rsidP="005A52C7">
            <w:pPr>
              <w:ind w:right="-29"/>
              <w:jc w:val="center"/>
              <w:rPr>
                <w:noProof/>
                <w:spacing w:val="-6"/>
                <w:sz w:val="18"/>
                <w:szCs w:val="18"/>
              </w:rPr>
            </w:pPr>
          </w:p>
        </w:tc>
        <w:tc>
          <w:tcPr>
            <w:tcW w:w="797" w:type="dxa"/>
            <w:tcMar>
              <w:left w:w="28" w:type="dxa"/>
              <w:right w:w="28" w:type="dxa"/>
            </w:tcMar>
          </w:tcPr>
          <w:p w14:paraId="77FF3DE3"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15F62055" w14:textId="77777777" w:rsidR="00F24F71" w:rsidRPr="00DE5E39" w:rsidRDefault="00F24F71" w:rsidP="005A52C7">
            <w:pPr>
              <w:ind w:right="-29"/>
              <w:jc w:val="center"/>
              <w:rPr>
                <w:b/>
                <w:bCs/>
                <w:noProof/>
                <w:spacing w:val="-6"/>
                <w:sz w:val="18"/>
                <w:szCs w:val="18"/>
              </w:rPr>
            </w:pPr>
          </w:p>
        </w:tc>
      </w:tr>
      <w:tr w:rsidR="00F24F71" w:rsidRPr="00DE5E39" w14:paraId="0A6DB300" w14:textId="77777777" w:rsidTr="00DE5E39">
        <w:trPr>
          <w:trHeight w:val="369"/>
        </w:trPr>
        <w:tc>
          <w:tcPr>
            <w:tcW w:w="1271" w:type="dxa"/>
            <w:tcMar>
              <w:left w:w="28" w:type="dxa"/>
              <w:right w:w="28" w:type="dxa"/>
            </w:tcMar>
          </w:tcPr>
          <w:p w14:paraId="1077E679" w14:textId="77777777" w:rsidR="00F24F71" w:rsidRPr="00DE5E39" w:rsidRDefault="00F24F71" w:rsidP="005A52C7">
            <w:pPr>
              <w:ind w:right="-29"/>
              <w:jc w:val="center"/>
              <w:rPr>
                <w:noProof/>
                <w:spacing w:val="-6"/>
                <w:sz w:val="18"/>
              </w:rPr>
            </w:pPr>
            <w:r w:rsidRPr="00DE5E39">
              <w:rPr>
                <w:noProof/>
                <w:spacing w:val="-6"/>
                <w:sz w:val="18"/>
              </w:rPr>
              <w:t>Riadenie IT služieb – licencie</w:t>
            </w:r>
          </w:p>
        </w:tc>
        <w:tc>
          <w:tcPr>
            <w:tcW w:w="883" w:type="dxa"/>
            <w:tcMar>
              <w:left w:w="28" w:type="dxa"/>
              <w:right w:w="28" w:type="dxa"/>
            </w:tcMar>
          </w:tcPr>
          <w:p w14:paraId="62D15DBD" w14:textId="77777777" w:rsidR="00F24F71" w:rsidRPr="00DE5E39" w:rsidRDefault="00F24F71" w:rsidP="005A52C7">
            <w:pPr>
              <w:ind w:right="-29"/>
              <w:jc w:val="center"/>
              <w:rPr>
                <w:noProof/>
                <w:spacing w:val="-6"/>
                <w:sz w:val="18"/>
                <w:szCs w:val="18"/>
              </w:rPr>
            </w:pPr>
          </w:p>
        </w:tc>
        <w:tc>
          <w:tcPr>
            <w:tcW w:w="826" w:type="dxa"/>
            <w:tcMar>
              <w:left w:w="28" w:type="dxa"/>
              <w:right w:w="28" w:type="dxa"/>
            </w:tcMar>
          </w:tcPr>
          <w:p w14:paraId="1505F4D4" w14:textId="77777777" w:rsidR="00F24F71" w:rsidRPr="00DE5E39" w:rsidRDefault="00F24F71" w:rsidP="005A52C7">
            <w:pPr>
              <w:ind w:right="-29"/>
              <w:jc w:val="center"/>
              <w:rPr>
                <w:noProof/>
                <w:spacing w:val="-6"/>
                <w:sz w:val="18"/>
                <w:szCs w:val="18"/>
                <w:highlight w:val="yellow"/>
              </w:rPr>
            </w:pPr>
          </w:p>
        </w:tc>
        <w:tc>
          <w:tcPr>
            <w:tcW w:w="685" w:type="dxa"/>
            <w:tcMar>
              <w:left w:w="28" w:type="dxa"/>
              <w:right w:w="28" w:type="dxa"/>
            </w:tcMar>
          </w:tcPr>
          <w:p w14:paraId="208E2257" w14:textId="77777777" w:rsidR="00F24F71" w:rsidRPr="00DE5E39" w:rsidRDefault="00F24F71" w:rsidP="005A52C7">
            <w:pPr>
              <w:ind w:right="-29"/>
              <w:jc w:val="center"/>
              <w:rPr>
                <w:noProof/>
                <w:spacing w:val="-6"/>
                <w:sz w:val="18"/>
                <w:szCs w:val="18"/>
                <w:highlight w:val="yellow"/>
              </w:rPr>
            </w:pPr>
          </w:p>
        </w:tc>
        <w:tc>
          <w:tcPr>
            <w:tcW w:w="758" w:type="dxa"/>
            <w:tcMar>
              <w:left w:w="28" w:type="dxa"/>
              <w:right w:w="28" w:type="dxa"/>
            </w:tcMar>
          </w:tcPr>
          <w:p w14:paraId="07C8155D" w14:textId="77777777" w:rsidR="00F24F71" w:rsidRPr="00DE5E39" w:rsidRDefault="00F24F71" w:rsidP="005A52C7">
            <w:pPr>
              <w:ind w:right="-29"/>
              <w:jc w:val="center"/>
              <w:rPr>
                <w:noProof/>
                <w:spacing w:val="-6"/>
                <w:sz w:val="18"/>
                <w:szCs w:val="18"/>
                <w:highlight w:val="yellow"/>
              </w:rPr>
            </w:pPr>
          </w:p>
        </w:tc>
        <w:tc>
          <w:tcPr>
            <w:tcW w:w="614" w:type="dxa"/>
            <w:tcMar>
              <w:left w:w="28" w:type="dxa"/>
              <w:right w:w="28" w:type="dxa"/>
            </w:tcMar>
          </w:tcPr>
          <w:p w14:paraId="21E83547" w14:textId="77777777" w:rsidR="00F24F71" w:rsidRPr="00DE5E39" w:rsidRDefault="00F24F71" w:rsidP="005A52C7">
            <w:pPr>
              <w:ind w:right="-29"/>
              <w:jc w:val="center"/>
              <w:rPr>
                <w:noProof/>
                <w:spacing w:val="-6"/>
                <w:sz w:val="18"/>
                <w:szCs w:val="18"/>
              </w:rPr>
            </w:pPr>
          </w:p>
        </w:tc>
        <w:tc>
          <w:tcPr>
            <w:tcW w:w="628" w:type="dxa"/>
            <w:tcMar>
              <w:left w:w="28" w:type="dxa"/>
              <w:right w:w="28" w:type="dxa"/>
            </w:tcMar>
          </w:tcPr>
          <w:p w14:paraId="6450A9E0"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0591E25A" w14:textId="77777777" w:rsidR="00F24F71" w:rsidRPr="00DE5E39" w:rsidRDefault="00F24F71" w:rsidP="005A52C7">
            <w:pPr>
              <w:ind w:right="-29"/>
              <w:jc w:val="center"/>
              <w:rPr>
                <w:noProof/>
                <w:spacing w:val="-6"/>
                <w:sz w:val="18"/>
                <w:szCs w:val="18"/>
              </w:rPr>
            </w:pPr>
          </w:p>
        </w:tc>
        <w:tc>
          <w:tcPr>
            <w:tcW w:w="709" w:type="dxa"/>
            <w:tcMar>
              <w:left w:w="28" w:type="dxa"/>
              <w:right w:w="28" w:type="dxa"/>
            </w:tcMar>
          </w:tcPr>
          <w:p w14:paraId="48A5405B" w14:textId="77777777" w:rsidR="00F24F71" w:rsidRPr="00DE5E39" w:rsidRDefault="00F24F71" w:rsidP="005A52C7">
            <w:pPr>
              <w:ind w:right="-29"/>
              <w:jc w:val="center"/>
              <w:rPr>
                <w:noProof/>
                <w:spacing w:val="-6"/>
                <w:sz w:val="18"/>
                <w:szCs w:val="18"/>
              </w:rPr>
            </w:pPr>
          </w:p>
        </w:tc>
        <w:tc>
          <w:tcPr>
            <w:tcW w:w="567" w:type="dxa"/>
            <w:tcMar>
              <w:left w:w="28" w:type="dxa"/>
              <w:right w:w="28" w:type="dxa"/>
            </w:tcMar>
          </w:tcPr>
          <w:p w14:paraId="06A2BC9A" w14:textId="77777777" w:rsidR="00F24F71" w:rsidRPr="00DE5E39" w:rsidRDefault="00F24F71" w:rsidP="005A52C7">
            <w:pPr>
              <w:ind w:right="-29"/>
              <w:jc w:val="center"/>
              <w:rPr>
                <w:noProof/>
                <w:spacing w:val="-6"/>
                <w:sz w:val="18"/>
                <w:szCs w:val="18"/>
              </w:rPr>
            </w:pPr>
          </w:p>
        </w:tc>
        <w:tc>
          <w:tcPr>
            <w:tcW w:w="846" w:type="dxa"/>
            <w:tcMar>
              <w:left w:w="28" w:type="dxa"/>
              <w:right w:w="28" w:type="dxa"/>
            </w:tcMar>
          </w:tcPr>
          <w:p w14:paraId="2C2A15BF" w14:textId="77777777" w:rsidR="00F24F71" w:rsidRPr="00DE5E39" w:rsidRDefault="00F24F71" w:rsidP="005A52C7">
            <w:pPr>
              <w:ind w:right="-29"/>
              <w:jc w:val="center"/>
              <w:rPr>
                <w:noProof/>
                <w:spacing w:val="-6"/>
                <w:sz w:val="18"/>
                <w:szCs w:val="18"/>
              </w:rPr>
            </w:pPr>
          </w:p>
        </w:tc>
        <w:tc>
          <w:tcPr>
            <w:tcW w:w="797" w:type="dxa"/>
            <w:tcMar>
              <w:left w:w="28" w:type="dxa"/>
              <w:right w:w="28" w:type="dxa"/>
            </w:tcMar>
          </w:tcPr>
          <w:p w14:paraId="659103E5" w14:textId="77777777" w:rsidR="00F24F71" w:rsidRPr="00DE5E39" w:rsidRDefault="00F24F71" w:rsidP="005A52C7">
            <w:pPr>
              <w:ind w:right="-29"/>
              <w:jc w:val="center"/>
              <w:rPr>
                <w:noProof/>
                <w:spacing w:val="-6"/>
                <w:sz w:val="18"/>
                <w:szCs w:val="18"/>
              </w:rPr>
            </w:pPr>
          </w:p>
        </w:tc>
        <w:tc>
          <w:tcPr>
            <w:tcW w:w="1046" w:type="dxa"/>
            <w:tcMar>
              <w:left w:w="28" w:type="dxa"/>
              <w:right w:w="28" w:type="dxa"/>
            </w:tcMar>
          </w:tcPr>
          <w:p w14:paraId="074F5B49" w14:textId="77777777" w:rsidR="00F24F71" w:rsidRPr="00DE5E39" w:rsidRDefault="00F24F71" w:rsidP="005A52C7">
            <w:pPr>
              <w:ind w:right="-29"/>
              <w:jc w:val="center"/>
              <w:rPr>
                <w:b/>
                <w:bCs/>
                <w:noProof/>
                <w:spacing w:val="-6"/>
                <w:sz w:val="18"/>
                <w:szCs w:val="18"/>
              </w:rPr>
            </w:pPr>
          </w:p>
        </w:tc>
      </w:tr>
      <w:tr w:rsidR="00F24F71" w:rsidRPr="00DE5E39" w14:paraId="7F00984E" w14:textId="77777777" w:rsidTr="00DE5E39">
        <w:trPr>
          <w:trHeight w:val="77"/>
        </w:trPr>
        <w:tc>
          <w:tcPr>
            <w:tcW w:w="2980" w:type="dxa"/>
            <w:gridSpan w:val="3"/>
            <w:tcBorders>
              <w:bottom w:val="single" w:sz="12" w:space="0" w:color="auto"/>
            </w:tcBorders>
            <w:tcMar>
              <w:left w:w="28" w:type="dxa"/>
              <w:right w:w="28" w:type="dxa"/>
            </w:tcMar>
            <w:vAlign w:val="center"/>
          </w:tcPr>
          <w:p w14:paraId="2D78B24F" w14:textId="77777777" w:rsidR="00F24F71" w:rsidRPr="00DE5E39" w:rsidRDefault="00F24F71" w:rsidP="005A52C7">
            <w:pPr>
              <w:ind w:right="-29"/>
              <w:jc w:val="center"/>
              <w:rPr>
                <w:noProof/>
                <w:spacing w:val="-6"/>
                <w:sz w:val="18"/>
                <w:szCs w:val="18"/>
              </w:rPr>
            </w:pPr>
            <w:r w:rsidRPr="00DE5E39">
              <w:rPr>
                <w:noProof/>
                <w:spacing w:val="-6"/>
                <w:sz w:val="18"/>
              </w:rPr>
              <w:t xml:space="preserve">Špecifický cieľ </w:t>
            </w:r>
            <w:r w:rsidR="001E2023" w:rsidRPr="00DE5E39">
              <w:rPr>
                <w:noProof/>
                <w:spacing w:val="-6"/>
                <w:sz w:val="18"/>
              </w:rPr>
              <w:t>č. </w:t>
            </w:r>
            <w:r w:rsidRPr="00DE5E39">
              <w:rPr>
                <w:noProof/>
                <w:spacing w:val="-6"/>
                <w:sz w:val="18"/>
              </w:rPr>
              <w:t>1 medzisúčet</w:t>
            </w:r>
          </w:p>
        </w:tc>
        <w:tc>
          <w:tcPr>
            <w:tcW w:w="685" w:type="dxa"/>
            <w:tcBorders>
              <w:bottom w:val="single" w:sz="12" w:space="0" w:color="auto"/>
            </w:tcBorders>
            <w:tcMar>
              <w:left w:w="28" w:type="dxa"/>
              <w:right w:w="28" w:type="dxa"/>
            </w:tcMar>
          </w:tcPr>
          <w:p w14:paraId="0A5D5A18" w14:textId="77777777" w:rsidR="00F24F71" w:rsidRPr="00DE5E39" w:rsidRDefault="00F24F71" w:rsidP="005A52C7">
            <w:pPr>
              <w:ind w:right="-29"/>
              <w:jc w:val="center"/>
              <w:rPr>
                <w:noProof/>
                <w:spacing w:val="-6"/>
                <w:sz w:val="18"/>
                <w:szCs w:val="18"/>
              </w:rPr>
            </w:pPr>
          </w:p>
        </w:tc>
        <w:tc>
          <w:tcPr>
            <w:tcW w:w="758" w:type="dxa"/>
            <w:tcBorders>
              <w:bottom w:val="single" w:sz="12" w:space="0" w:color="auto"/>
            </w:tcBorders>
            <w:tcMar>
              <w:left w:w="28" w:type="dxa"/>
              <w:right w:w="28" w:type="dxa"/>
            </w:tcMar>
          </w:tcPr>
          <w:p w14:paraId="3A55F295" w14:textId="77777777" w:rsidR="00F24F71" w:rsidRPr="00DE5E39" w:rsidRDefault="00F24F71" w:rsidP="005A52C7">
            <w:pPr>
              <w:ind w:right="-29"/>
              <w:jc w:val="center"/>
              <w:rPr>
                <w:noProof/>
                <w:spacing w:val="-6"/>
                <w:sz w:val="18"/>
                <w:szCs w:val="18"/>
              </w:rPr>
            </w:pPr>
            <w:r w:rsidRPr="00DE5E39">
              <w:rPr>
                <w:noProof/>
                <w:spacing w:val="-6"/>
                <w:sz w:val="18"/>
              </w:rPr>
              <w:t>0,0</w:t>
            </w:r>
          </w:p>
        </w:tc>
        <w:tc>
          <w:tcPr>
            <w:tcW w:w="614" w:type="dxa"/>
            <w:tcBorders>
              <w:bottom w:val="single" w:sz="12" w:space="0" w:color="auto"/>
            </w:tcBorders>
            <w:tcMar>
              <w:left w:w="28" w:type="dxa"/>
              <w:right w:w="28" w:type="dxa"/>
            </w:tcMar>
          </w:tcPr>
          <w:p w14:paraId="0E4809E3" w14:textId="77777777" w:rsidR="00F24F71" w:rsidRPr="00DE5E39" w:rsidRDefault="00F24F71" w:rsidP="005A52C7">
            <w:pPr>
              <w:ind w:right="-29"/>
              <w:jc w:val="center"/>
              <w:rPr>
                <w:noProof/>
                <w:spacing w:val="-6"/>
                <w:sz w:val="18"/>
                <w:szCs w:val="18"/>
              </w:rPr>
            </w:pPr>
          </w:p>
        </w:tc>
        <w:tc>
          <w:tcPr>
            <w:tcW w:w="628" w:type="dxa"/>
            <w:tcBorders>
              <w:bottom w:val="single" w:sz="12" w:space="0" w:color="auto"/>
            </w:tcBorders>
            <w:tcMar>
              <w:left w:w="28" w:type="dxa"/>
              <w:right w:w="28" w:type="dxa"/>
            </w:tcMar>
          </w:tcPr>
          <w:p w14:paraId="7CAFEF13" w14:textId="77777777" w:rsidR="00F24F71" w:rsidRPr="00DE5E39" w:rsidRDefault="00F24F71" w:rsidP="005A52C7">
            <w:pPr>
              <w:ind w:right="-29"/>
              <w:jc w:val="center"/>
              <w:rPr>
                <w:noProof/>
                <w:spacing w:val="-6"/>
                <w:sz w:val="18"/>
                <w:szCs w:val="18"/>
              </w:rPr>
            </w:pPr>
            <w:r w:rsidRPr="00DE5E39">
              <w:rPr>
                <w:noProof/>
                <w:spacing w:val="-6"/>
                <w:sz w:val="18"/>
              </w:rPr>
              <w:t>2,3</w:t>
            </w:r>
          </w:p>
        </w:tc>
        <w:tc>
          <w:tcPr>
            <w:tcW w:w="709" w:type="dxa"/>
            <w:tcBorders>
              <w:bottom w:val="single" w:sz="12" w:space="0" w:color="auto"/>
            </w:tcBorders>
            <w:tcMar>
              <w:left w:w="28" w:type="dxa"/>
              <w:right w:w="28" w:type="dxa"/>
            </w:tcMar>
          </w:tcPr>
          <w:p w14:paraId="0473B327" w14:textId="77777777" w:rsidR="00F24F71" w:rsidRPr="00DE5E39" w:rsidRDefault="00F24F71" w:rsidP="005A52C7">
            <w:pPr>
              <w:ind w:right="-29"/>
              <w:jc w:val="center"/>
              <w:rPr>
                <w:noProof/>
                <w:spacing w:val="-6"/>
                <w:sz w:val="18"/>
                <w:szCs w:val="18"/>
              </w:rPr>
            </w:pPr>
          </w:p>
        </w:tc>
        <w:tc>
          <w:tcPr>
            <w:tcW w:w="709" w:type="dxa"/>
            <w:tcBorders>
              <w:bottom w:val="single" w:sz="12" w:space="0" w:color="auto"/>
            </w:tcBorders>
            <w:tcMar>
              <w:left w:w="28" w:type="dxa"/>
              <w:right w:w="28" w:type="dxa"/>
            </w:tcMar>
          </w:tcPr>
          <w:p w14:paraId="65AC8D66" w14:textId="77777777" w:rsidR="00F24F71" w:rsidRPr="00DE5E39" w:rsidRDefault="00F24F71" w:rsidP="005A52C7">
            <w:pPr>
              <w:ind w:right="-29"/>
              <w:jc w:val="center"/>
              <w:rPr>
                <w:noProof/>
                <w:spacing w:val="-6"/>
                <w:sz w:val="18"/>
                <w:szCs w:val="18"/>
              </w:rPr>
            </w:pPr>
            <w:r w:rsidRPr="00DE5E39">
              <w:rPr>
                <w:noProof/>
                <w:spacing w:val="-6"/>
                <w:sz w:val="18"/>
              </w:rPr>
              <w:t>0,65</w:t>
            </w:r>
          </w:p>
        </w:tc>
        <w:tc>
          <w:tcPr>
            <w:tcW w:w="567" w:type="dxa"/>
            <w:tcBorders>
              <w:bottom w:val="single" w:sz="12" w:space="0" w:color="auto"/>
            </w:tcBorders>
            <w:tcMar>
              <w:left w:w="28" w:type="dxa"/>
              <w:right w:w="28" w:type="dxa"/>
            </w:tcMar>
          </w:tcPr>
          <w:p w14:paraId="27B95EAB" w14:textId="77777777" w:rsidR="00F24F71" w:rsidRPr="00DE5E39" w:rsidRDefault="00F24F71" w:rsidP="005A52C7">
            <w:pPr>
              <w:ind w:right="-29"/>
              <w:jc w:val="center"/>
              <w:rPr>
                <w:noProof/>
                <w:spacing w:val="-6"/>
                <w:sz w:val="18"/>
                <w:szCs w:val="18"/>
              </w:rPr>
            </w:pPr>
          </w:p>
        </w:tc>
        <w:tc>
          <w:tcPr>
            <w:tcW w:w="846" w:type="dxa"/>
            <w:tcBorders>
              <w:bottom w:val="single" w:sz="12" w:space="0" w:color="auto"/>
            </w:tcBorders>
            <w:tcMar>
              <w:left w:w="28" w:type="dxa"/>
              <w:right w:w="28" w:type="dxa"/>
            </w:tcMar>
          </w:tcPr>
          <w:p w14:paraId="0D718D15" w14:textId="77777777" w:rsidR="00F24F71" w:rsidRPr="00DE5E39" w:rsidRDefault="00F24F71" w:rsidP="005A52C7">
            <w:pPr>
              <w:ind w:right="-29"/>
              <w:jc w:val="center"/>
              <w:rPr>
                <w:noProof/>
                <w:spacing w:val="-6"/>
                <w:sz w:val="18"/>
                <w:szCs w:val="18"/>
              </w:rPr>
            </w:pPr>
            <w:r w:rsidRPr="00DE5E39">
              <w:rPr>
                <w:noProof/>
                <w:spacing w:val="-6"/>
                <w:sz w:val="18"/>
              </w:rPr>
              <w:t>0,35</w:t>
            </w:r>
          </w:p>
        </w:tc>
        <w:tc>
          <w:tcPr>
            <w:tcW w:w="797" w:type="dxa"/>
            <w:tcBorders>
              <w:bottom w:val="single" w:sz="12" w:space="0" w:color="auto"/>
            </w:tcBorders>
            <w:tcMar>
              <w:left w:w="28" w:type="dxa"/>
              <w:right w:w="28" w:type="dxa"/>
            </w:tcMar>
          </w:tcPr>
          <w:p w14:paraId="583E12A1" w14:textId="77777777" w:rsidR="00F24F71" w:rsidRPr="00DE5E39" w:rsidRDefault="00F24F71" w:rsidP="005A52C7">
            <w:pPr>
              <w:ind w:right="-29"/>
              <w:jc w:val="center"/>
              <w:rPr>
                <w:noProof/>
                <w:spacing w:val="-6"/>
                <w:sz w:val="18"/>
                <w:szCs w:val="18"/>
              </w:rPr>
            </w:pPr>
          </w:p>
        </w:tc>
        <w:tc>
          <w:tcPr>
            <w:tcW w:w="1046" w:type="dxa"/>
            <w:tcBorders>
              <w:bottom w:val="single" w:sz="12" w:space="0" w:color="auto"/>
            </w:tcBorders>
            <w:tcMar>
              <w:left w:w="28" w:type="dxa"/>
              <w:right w:w="28" w:type="dxa"/>
            </w:tcMar>
          </w:tcPr>
          <w:p w14:paraId="605D8693" w14:textId="77777777" w:rsidR="00F24F71" w:rsidRPr="00DE5E39" w:rsidRDefault="00F24F71" w:rsidP="005A52C7">
            <w:pPr>
              <w:ind w:right="-29"/>
              <w:jc w:val="center"/>
              <w:rPr>
                <w:b/>
                <w:bCs/>
                <w:noProof/>
                <w:spacing w:val="-6"/>
                <w:sz w:val="18"/>
                <w:szCs w:val="18"/>
              </w:rPr>
            </w:pPr>
            <w:r w:rsidRPr="00DE5E39">
              <w:rPr>
                <w:b/>
                <w:noProof/>
                <w:spacing w:val="-6"/>
                <w:sz w:val="18"/>
              </w:rPr>
              <w:t>3,3</w:t>
            </w:r>
          </w:p>
        </w:tc>
      </w:tr>
      <w:tr w:rsidR="00F24F71" w:rsidRPr="00DE5E39" w14:paraId="2EDC4862" w14:textId="77777777" w:rsidTr="00DE5E39">
        <w:tc>
          <w:tcPr>
            <w:tcW w:w="2980" w:type="dxa"/>
            <w:gridSpan w:val="3"/>
            <w:tcBorders>
              <w:top w:val="single" w:sz="12" w:space="0" w:color="auto"/>
              <w:left w:val="single" w:sz="12" w:space="0" w:color="auto"/>
              <w:bottom w:val="single" w:sz="12" w:space="0" w:color="auto"/>
            </w:tcBorders>
            <w:tcMar>
              <w:left w:w="28" w:type="dxa"/>
              <w:right w:w="28" w:type="dxa"/>
            </w:tcMar>
            <w:vAlign w:val="center"/>
          </w:tcPr>
          <w:p w14:paraId="54DFDF8C" w14:textId="77777777" w:rsidR="00F24F71" w:rsidRPr="00DE5E39" w:rsidRDefault="00F24F71" w:rsidP="005A52C7">
            <w:pPr>
              <w:ind w:right="-29"/>
              <w:jc w:val="center"/>
              <w:rPr>
                <w:noProof/>
                <w:spacing w:val="-6"/>
                <w:sz w:val="18"/>
                <w:szCs w:val="18"/>
              </w:rPr>
            </w:pPr>
            <w:r w:rsidRPr="00DE5E39">
              <w:rPr>
                <w:b/>
                <w:noProof/>
                <w:spacing w:val="-6"/>
                <w:sz w:val="18"/>
              </w:rPr>
              <w:t>SPOLU</w:t>
            </w:r>
          </w:p>
        </w:tc>
        <w:tc>
          <w:tcPr>
            <w:tcW w:w="685" w:type="dxa"/>
            <w:tcBorders>
              <w:top w:val="single" w:sz="12" w:space="0" w:color="auto"/>
              <w:bottom w:val="single" w:sz="12" w:space="0" w:color="auto"/>
            </w:tcBorders>
            <w:tcMar>
              <w:left w:w="28" w:type="dxa"/>
              <w:right w:w="28" w:type="dxa"/>
            </w:tcMar>
          </w:tcPr>
          <w:p w14:paraId="2B8FD766" w14:textId="77777777" w:rsidR="00F24F71" w:rsidRPr="00DE5E39" w:rsidRDefault="00F24F71" w:rsidP="005A52C7">
            <w:pPr>
              <w:spacing w:before="180" w:after="180"/>
              <w:ind w:right="-29"/>
              <w:jc w:val="center"/>
              <w:rPr>
                <w:noProof/>
                <w:spacing w:val="-6"/>
                <w:sz w:val="18"/>
                <w:szCs w:val="18"/>
              </w:rPr>
            </w:pPr>
          </w:p>
        </w:tc>
        <w:tc>
          <w:tcPr>
            <w:tcW w:w="758" w:type="dxa"/>
            <w:tcBorders>
              <w:top w:val="single" w:sz="12" w:space="0" w:color="auto"/>
              <w:bottom w:val="single" w:sz="12" w:space="0" w:color="auto"/>
            </w:tcBorders>
            <w:tcMar>
              <w:left w:w="28" w:type="dxa"/>
              <w:right w:w="28" w:type="dxa"/>
            </w:tcMar>
          </w:tcPr>
          <w:p w14:paraId="48474037" w14:textId="77777777" w:rsidR="00F24F71" w:rsidRPr="00DE5E39" w:rsidRDefault="00F24F71" w:rsidP="005A52C7">
            <w:pPr>
              <w:spacing w:before="180" w:after="180"/>
              <w:ind w:right="-29"/>
              <w:jc w:val="center"/>
              <w:rPr>
                <w:noProof/>
                <w:spacing w:val="-6"/>
                <w:sz w:val="18"/>
                <w:szCs w:val="18"/>
              </w:rPr>
            </w:pPr>
            <w:r w:rsidRPr="00DE5E39">
              <w:rPr>
                <w:noProof/>
                <w:spacing w:val="-6"/>
                <w:sz w:val="18"/>
              </w:rPr>
              <w:t>0,0</w:t>
            </w:r>
          </w:p>
        </w:tc>
        <w:tc>
          <w:tcPr>
            <w:tcW w:w="614" w:type="dxa"/>
            <w:tcBorders>
              <w:top w:val="single" w:sz="12" w:space="0" w:color="auto"/>
              <w:bottom w:val="single" w:sz="12" w:space="0" w:color="auto"/>
            </w:tcBorders>
            <w:tcMar>
              <w:left w:w="28" w:type="dxa"/>
              <w:right w:w="28" w:type="dxa"/>
            </w:tcMar>
          </w:tcPr>
          <w:p w14:paraId="707767DA" w14:textId="77777777" w:rsidR="00F24F71" w:rsidRPr="00DE5E39" w:rsidRDefault="00F24F71" w:rsidP="005A52C7">
            <w:pPr>
              <w:spacing w:before="180" w:after="180"/>
              <w:ind w:right="-29"/>
              <w:jc w:val="center"/>
              <w:rPr>
                <w:noProof/>
                <w:spacing w:val="-6"/>
                <w:sz w:val="18"/>
                <w:szCs w:val="18"/>
              </w:rPr>
            </w:pPr>
          </w:p>
        </w:tc>
        <w:tc>
          <w:tcPr>
            <w:tcW w:w="628" w:type="dxa"/>
            <w:tcBorders>
              <w:top w:val="single" w:sz="12" w:space="0" w:color="auto"/>
              <w:bottom w:val="single" w:sz="12" w:space="0" w:color="auto"/>
            </w:tcBorders>
            <w:tcMar>
              <w:left w:w="28" w:type="dxa"/>
              <w:right w:w="28" w:type="dxa"/>
            </w:tcMar>
          </w:tcPr>
          <w:p w14:paraId="2FD80949" w14:textId="77777777" w:rsidR="00F24F71" w:rsidRPr="00DE5E39" w:rsidRDefault="00F24F71" w:rsidP="005A52C7">
            <w:pPr>
              <w:spacing w:before="180" w:after="180"/>
              <w:ind w:right="-29"/>
              <w:jc w:val="center"/>
              <w:rPr>
                <w:noProof/>
                <w:spacing w:val="-6"/>
                <w:sz w:val="18"/>
                <w:szCs w:val="18"/>
              </w:rPr>
            </w:pPr>
            <w:r w:rsidRPr="00DE5E39">
              <w:rPr>
                <w:noProof/>
                <w:spacing w:val="-6"/>
                <w:sz w:val="18"/>
              </w:rPr>
              <w:t>2,3</w:t>
            </w:r>
          </w:p>
        </w:tc>
        <w:tc>
          <w:tcPr>
            <w:tcW w:w="709" w:type="dxa"/>
            <w:tcBorders>
              <w:top w:val="single" w:sz="12" w:space="0" w:color="auto"/>
              <w:bottom w:val="single" w:sz="12" w:space="0" w:color="auto"/>
            </w:tcBorders>
            <w:tcMar>
              <w:left w:w="28" w:type="dxa"/>
              <w:right w:w="28" w:type="dxa"/>
            </w:tcMar>
          </w:tcPr>
          <w:p w14:paraId="0DE90F5D" w14:textId="77777777" w:rsidR="00F24F71" w:rsidRPr="00DE5E39" w:rsidRDefault="00F24F71" w:rsidP="005A52C7">
            <w:pPr>
              <w:spacing w:before="180" w:after="180"/>
              <w:ind w:right="-29"/>
              <w:jc w:val="center"/>
              <w:rPr>
                <w:noProof/>
                <w:spacing w:val="-6"/>
                <w:sz w:val="18"/>
                <w:szCs w:val="18"/>
              </w:rPr>
            </w:pPr>
          </w:p>
        </w:tc>
        <w:tc>
          <w:tcPr>
            <w:tcW w:w="709" w:type="dxa"/>
            <w:tcBorders>
              <w:top w:val="single" w:sz="12" w:space="0" w:color="auto"/>
              <w:bottom w:val="single" w:sz="12" w:space="0" w:color="auto"/>
            </w:tcBorders>
            <w:tcMar>
              <w:left w:w="28" w:type="dxa"/>
              <w:right w:w="28" w:type="dxa"/>
            </w:tcMar>
          </w:tcPr>
          <w:p w14:paraId="40FF0E18" w14:textId="77777777" w:rsidR="00F24F71" w:rsidRPr="00DE5E39" w:rsidRDefault="00F24F71" w:rsidP="005A52C7">
            <w:pPr>
              <w:spacing w:before="180" w:after="180"/>
              <w:ind w:right="-29"/>
              <w:jc w:val="center"/>
              <w:rPr>
                <w:noProof/>
                <w:spacing w:val="-6"/>
                <w:sz w:val="18"/>
                <w:szCs w:val="18"/>
              </w:rPr>
            </w:pPr>
            <w:r w:rsidRPr="00DE5E39">
              <w:rPr>
                <w:noProof/>
                <w:spacing w:val="-6"/>
                <w:sz w:val="18"/>
              </w:rPr>
              <w:t>0,65</w:t>
            </w:r>
          </w:p>
        </w:tc>
        <w:tc>
          <w:tcPr>
            <w:tcW w:w="567" w:type="dxa"/>
            <w:tcBorders>
              <w:top w:val="single" w:sz="12" w:space="0" w:color="auto"/>
              <w:bottom w:val="single" w:sz="12" w:space="0" w:color="auto"/>
            </w:tcBorders>
            <w:tcMar>
              <w:left w:w="28" w:type="dxa"/>
              <w:right w:w="28" w:type="dxa"/>
            </w:tcMar>
          </w:tcPr>
          <w:p w14:paraId="13CC881C" w14:textId="77777777" w:rsidR="00F24F71" w:rsidRPr="00DE5E39" w:rsidRDefault="00F24F71" w:rsidP="005A52C7">
            <w:pPr>
              <w:spacing w:before="180" w:after="180"/>
              <w:ind w:right="-29"/>
              <w:jc w:val="center"/>
              <w:rPr>
                <w:noProof/>
                <w:spacing w:val="-6"/>
                <w:sz w:val="18"/>
                <w:szCs w:val="18"/>
              </w:rPr>
            </w:pPr>
          </w:p>
        </w:tc>
        <w:tc>
          <w:tcPr>
            <w:tcW w:w="846" w:type="dxa"/>
            <w:tcBorders>
              <w:top w:val="single" w:sz="12" w:space="0" w:color="auto"/>
              <w:bottom w:val="single" w:sz="12" w:space="0" w:color="auto"/>
            </w:tcBorders>
            <w:tcMar>
              <w:left w:w="28" w:type="dxa"/>
              <w:right w:w="28" w:type="dxa"/>
            </w:tcMar>
          </w:tcPr>
          <w:p w14:paraId="288E6866" w14:textId="77777777" w:rsidR="00F24F71" w:rsidRPr="00DE5E39" w:rsidRDefault="00F24F71" w:rsidP="005A52C7">
            <w:pPr>
              <w:spacing w:before="180" w:after="180"/>
              <w:ind w:right="-29"/>
              <w:jc w:val="center"/>
              <w:rPr>
                <w:noProof/>
                <w:spacing w:val="-6"/>
                <w:sz w:val="18"/>
                <w:szCs w:val="18"/>
              </w:rPr>
            </w:pPr>
            <w:r w:rsidRPr="00DE5E39">
              <w:rPr>
                <w:noProof/>
                <w:spacing w:val="-6"/>
                <w:sz w:val="18"/>
              </w:rPr>
              <w:t>0,35</w:t>
            </w:r>
          </w:p>
        </w:tc>
        <w:tc>
          <w:tcPr>
            <w:tcW w:w="797" w:type="dxa"/>
            <w:tcBorders>
              <w:top w:val="single" w:sz="12" w:space="0" w:color="auto"/>
              <w:bottom w:val="single" w:sz="12" w:space="0" w:color="auto"/>
            </w:tcBorders>
            <w:tcMar>
              <w:left w:w="28" w:type="dxa"/>
              <w:right w:w="28" w:type="dxa"/>
            </w:tcMar>
          </w:tcPr>
          <w:p w14:paraId="7A47DCCE" w14:textId="77777777" w:rsidR="00F24F71" w:rsidRPr="00DE5E39" w:rsidRDefault="00F24F71" w:rsidP="005A52C7">
            <w:pPr>
              <w:spacing w:before="180" w:after="180"/>
              <w:ind w:right="-29"/>
              <w:jc w:val="center"/>
              <w:rPr>
                <w:noProof/>
                <w:spacing w:val="-6"/>
                <w:sz w:val="18"/>
                <w:szCs w:val="18"/>
              </w:rPr>
            </w:pPr>
          </w:p>
        </w:tc>
        <w:tc>
          <w:tcPr>
            <w:tcW w:w="1046" w:type="dxa"/>
            <w:tcBorders>
              <w:top w:val="single" w:sz="12" w:space="0" w:color="auto"/>
              <w:bottom w:val="single" w:sz="12" w:space="0" w:color="auto"/>
              <w:right w:val="single" w:sz="12" w:space="0" w:color="auto"/>
            </w:tcBorders>
            <w:tcMar>
              <w:left w:w="28" w:type="dxa"/>
              <w:right w:w="28" w:type="dxa"/>
            </w:tcMar>
          </w:tcPr>
          <w:p w14:paraId="31EEBD2D" w14:textId="77777777" w:rsidR="00F24F71" w:rsidRPr="00DE5E39" w:rsidRDefault="00F24F71" w:rsidP="005A52C7">
            <w:pPr>
              <w:spacing w:before="180" w:after="180"/>
              <w:ind w:right="-29"/>
              <w:jc w:val="center"/>
              <w:rPr>
                <w:noProof/>
                <w:spacing w:val="-6"/>
                <w:sz w:val="18"/>
                <w:szCs w:val="18"/>
              </w:rPr>
            </w:pPr>
            <w:r w:rsidRPr="00DE5E39">
              <w:rPr>
                <w:b/>
                <w:noProof/>
                <w:spacing w:val="-6"/>
                <w:sz w:val="18"/>
              </w:rPr>
              <w:t>3.3</w:t>
            </w:r>
          </w:p>
        </w:tc>
      </w:tr>
    </w:tbl>
    <w:p w14:paraId="53D193B1" w14:textId="77777777" w:rsidR="00EF7953" w:rsidRPr="001E2023" w:rsidRDefault="00EF7953">
      <w:pPr>
        <w:rPr>
          <w:noProof/>
        </w:rPr>
        <w:sectPr w:rsidR="00EF7953" w:rsidRPr="001E2023" w:rsidSect="003F317C">
          <w:headerReference w:type="default" r:id="rId20"/>
          <w:footerReference w:type="default" r:id="rId21"/>
          <w:pgSz w:w="16840" w:h="11907" w:orient="landscape" w:code="9"/>
          <w:pgMar w:top="1134" w:right="1418" w:bottom="567" w:left="1418" w:header="709" w:footer="709" w:gutter="0"/>
          <w:cols w:space="708"/>
          <w:docGrid w:linePitch="360"/>
        </w:sectPr>
      </w:pPr>
    </w:p>
    <w:p w14:paraId="2A1BE111" w14:textId="77777777" w:rsidR="001E2023" w:rsidRPr="001E2023" w:rsidRDefault="00EF7953">
      <w:pPr>
        <w:pStyle w:val="ManualHeading3"/>
        <w:rPr>
          <w:noProof/>
        </w:rPr>
      </w:pPr>
      <w:bookmarkStart w:id="62" w:name="_Toc514938055"/>
      <w:bookmarkStart w:id="63" w:name="_Toc520485054"/>
      <w:r w:rsidRPr="001E2023">
        <w:rPr>
          <w:noProof/>
        </w:rPr>
        <w:t>3.2.3.</w:t>
      </w:r>
      <w:r w:rsidRPr="001E2023">
        <w:rPr>
          <w:noProof/>
        </w:rPr>
        <w:tab/>
        <w:t>Zhrnutie odhadovaného vplyvu na administratívne rozpočtové prostriedky</w:t>
      </w:r>
      <w:bookmarkEnd w:id="62"/>
      <w:bookmarkEnd w:id="63"/>
    </w:p>
    <w:p w14:paraId="0A961502" w14:textId="77777777" w:rsidR="001E2023" w:rsidRPr="001E2023" w:rsidRDefault="00EF7953">
      <w:pPr>
        <w:pStyle w:val="ListDash1"/>
        <w:rPr>
          <w:noProof/>
        </w:rPr>
      </w:pPr>
      <w:r w:rsidRPr="001E2023">
        <w:rPr>
          <w:rFonts w:ascii="Wingdings" w:hAnsi="Wingdings"/>
          <w:noProof/>
        </w:rPr>
        <w:t></w:t>
      </w:r>
      <w:r w:rsidRPr="001E2023">
        <w:rPr>
          <w:noProof/>
        </w:rPr>
        <w:tab/>
        <w:t>Návrh/iniciatíva si nevyžaduje použitie administratívnych rozpočtových prostriedkov</w:t>
      </w:r>
    </w:p>
    <w:p w14:paraId="3AB09A4F" w14:textId="77777777" w:rsidR="00EF7953" w:rsidRPr="001E2023" w:rsidRDefault="00541013">
      <w:pPr>
        <w:pStyle w:val="ListDash1"/>
        <w:rPr>
          <w:noProof/>
        </w:rPr>
      </w:pPr>
      <w:sdt>
        <w:sdtPr>
          <w:rPr>
            <w:noProof/>
          </w:rPr>
          <w:id w:val="-160630370"/>
          <w14:checkbox>
            <w14:checked w14:val="1"/>
            <w14:checkedState w14:val="2612" w14:font="MS Gothic"/>
            <w14:uncheckedState w14:val="2610" w14:font="MS Gothic"/>
          </w14:checkbox>
        </w:sdtPr>
        <w:sdtEndPr/>
        <w:sdtContent>
          <w:r w:rsidR="0087009D" w:rsidRPr="001E2023">
            <w:rPr>
              <w:rFonts w:ascii="MS Gothic" w:eastAsia="MS Gothic" w:hAnsi="MS Gothic"/>
              <w:noProof/>
            </w:rPr>
            <w:t>☒</w:t>
          </w:r>
        </w:sdtContent>
      </w:sdt>
      <w:r w:rsidR="00B21B48" w:rsidRPr="001E2023">
        <w:rPr>
          <w:noProof/>
        </w:rPr>
        <w:tab/>
        <w:t>Návrh/iniciatíva si vyžaduje použitie týchto administratívnych rozpočtových prostriedkov:</w:t>
      </w:r>
    </w:p>
    <w:p w14:paraId="241CA576" w14:textId="77777777" w:rsidR="00EF7953" w:rsidRPr="001E2023" w:rsidRDefault="00EF7953">
      <w:pPr>
        <w:jc w:val="right"/>
        <w:rPr>
          <w:noProof/>
          <w:sz w:val="20"/>
        </w:rPr>
      </w:pPr>
      <w:r w:rsidRPr="001E2023">
        <w:rPr>
          <w:noProof/>
          <w:sz w:val="20"/>
        </w:rPr>
        <w:t>v mil. EUR (zaokrúhlené na 3 desatinné miesta)</w:t>
      </w:r>
    </w:p>
    <w:tbl>
      <w:tblPr>
        <w:tblW w:w="828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985"/>
      </w:tblGrid>
      <w:tr w:rsidR="009F68BE" w:rsidRPr="001E2023" w14:paraId="74D570B9" w14:textId="77777777" w:rsidTr="009F68BE">
        <w:trPr>
          <w:trHeight w:val="585"/>
        </w:trPr>
        <w:tc>
          <w:tcPr>
            <w:tcW w:w="1980" w:type="dxa"/>
            <w:tcBorders>
              <w:bottom w:val="single" w:sz="4" w:space="0" w:color="auto"/>
            </w:tcBorders>
            <w:shd w:val="clear" w:color="auto" w:fill="CCCCCC"/>
            <w:vAlign w:val="center"/>
          </w:tcPr>
          <w:p w14:paraId="7A0474C2" w14:textId="77777777" w:rsidR="009F68BE" w:rsidRPr="001E2023" w:rsidRDefault="009F68BE" w:rsidP="004C280F">
            <w:pPr>
              <w:spacing w:before="60" w:after="60" w:line="200" w:lineRule="exact"/>
              <w:jc w:val="center"/>
              <w:rPr>
                <w:b/>
                <w:noProof/>
                <w:sz w:val="16"/>
              </w:rPr>
            </w:pPr>
          </w:p>
        </w:tc>
        <w:tc>
          <w:tcPr>
            <w:tcW w:w="1080" w:type="dxa"/>
            <w:tcBorders>
              <w:bottom w:val="single" w:sz="4" w:space="0" w:color="auto"/>
            </w:tcBorders>
            <w:vAlign w:val="center"/>
          </w:tcPr>
          <w:p w14:paraId="18002EF7" w14:textId="77777777" w:rsidR="009F68BE" w:rsidRPr="001E2023" w:rsidRDefault="009F68BE" w:rsidP="004C280F">
            <w:pPr>
              <w:spacing w:before="60" w:after="60" w:line="200" w:lineRule="exact"/>
              <w:jc w:val="center"/>
              <w:rPr>
                <w:b/>
                <w:bCs/>
                <w:noProof/>
                <w:sz w:val="16"/>
                <w:szCs w:val="16"/>
              </w:rPr>
            </w:pPr>
            <w:r w:rsidRPr="001E2023">
              <w:rPr>
                <w:b/>
                <w:noProof/>
                <w:sz w:val="16"/>
              </w:rPr>
              <w:t>Rok</w:t>
            </w:r>
            <w:r w:rsidRPr="001E2023">
              <w:rPr>
                <w:b/>
                <w:noProof/>
                <w:sz w:val="22"/>
              </w:rPr>
              <w:br/>
            </w:r>
            <w:r w:rsidRPr="001E2023">
              <w:rPr>
                <w:b/>
                <w:noProof/>
                <w:sz w:val="16"/>
              </w:rPr>
              <w:t>2024</w:t>
            </w:r>
            <w:r w:rsidRPr="001E2023">
              <w:rPr>
                <w:rStyle w:val="Odkaznapoznmkupodiarou"/>
                <w:b/>
                <w:bCs/>
                <w:noProof/>
                <w:sz w:val="16"/>
                <w:szCs w:val="16"/>
              </w:rPr>
              <w:footnoteReference w:id="27"/>
            </w:r>
          </w:p>
        </w:tc>
        <w:tc>
          <w:tcPr>
            <w:tcW w:w="1080" w:type="dxa"/>
            <w:tcBorders>
              <w:bottom w:val="single" w:sz="4" w:space="0" w:color="auto"/>
            </w:tcBorders>
            <w:vAlign w:val="center"/>
          </w:tcPr>
          <w:p w14:paraId="5A167034" w14:textId="77777777" w:rsidR="009F68BE" w:rsidRPr="001E2023" w:rsidRDefault="009F68BE" w:rsidP="004C280F">
            <w:pPr>
              <w:spacing w:before="60" w:after="60" w:line="200" w:lineRule="exact"/>
              <w:jc w:val="center"/>
              <w:rPr>
                <w:b/>
                <w:bCs/>
                <w:noProof/>
                <w:sz w:val="16"/>
              </w:rPr>
            </w:pPr>
            <w:r w:rsidRPr="001E2023">
              <w:rPr>
                <w:b/>
                <w:noProof/>
                <w:sz w:val="16"/>
              </w:rPr>
              <w:t>Rok</w:t>
            </w:r>
            <w:r w:rsidRPr="001E2023">
              <w:rPr>
                <w:b/>
                <w:noProof/>
                <w:sz w:val="16"/>
              </w:rPr>
              <w:br/>
              <w:t>2025</w:t>
            </w:r>
          </w:p>
        </w:tc>
        <w:tc>
          <w:tcPr>
            <w:tcW w:w="1080" w:type="dxa"/>
            <w:tcBorders>
              <w:bottom w:val="single" w:sz="4" w:space="0" w:color="auto"/>
            </w:tcBorders>
            <w:vAlign w:val="center"/>
          </w:tcPr>
          <w:p w14:paraId="29DB56C1" w14:textId="77777777" w:rsidR="009F68BE" w:rsidRPr="001E2023" w:rsidRDefault="009F68BE" w:rsidP="004C280F">
            <w:pPr>
              <w:spacing w:before="60" w:after="60" w:line="200" w:lineRule="exact"/>
              <w:jc w:val="center"/>
              <w:rPr>
                <w:b/>
                <w:bCs/>
                <w:noProof/>
                <w:sz w:val="16"/>
              </w:rPr>
            </w:pPr>
            <w:r w:rsidRPr="001E2023">
              <w:rPr>
                <w:b/>
                <w:noProof/>
                <w:sz w:val="16"/>
              </w:rPr>
              <w:t>Rok</w:t>
            </w:r>
            <w:r w:rsidRPr="001E2023">
              <w:rPr>
                <w:b/>
                <w:noProof/>
                <w:sz w:val="16"/>
              </w:rPr>
              <w:br/>
              <w:t>2026</w:t>
            </w:r>
          </w:p>
        </w:tc>
        <w:tc>
          <w:tcPr>
            <w:tcW w:w="1080" w:type="dxa"/>
            <w:tcBorders>
              <w:bottom w:val="single" w:sz="4" w:space="0" w:color="auto"/>
            </w:tcBorders>
            <w:vAlign w:val="center"/>
          </w:tcPr>
          <w:p w14:paraId="5E9BF81D" w14:textId="77777777" w:rsidR="009F68BE" w:rsidRPr="001E2023" w:rsidRDefault="009F68BE" w:rsidP="004C280F">
            <w:pPr>
              <w:spacing w:before="60" w:after="60" w:line="200" w:lineRule="exact"/>
              <w:jc w:val="center"/>
              <w:rPr>
                <w:b/>
                <w:bCs/>
                <w:noProof/>
                <w:sz w:val="16"/>
              </w:rPr>
            </w:pPr>
            <w:r w:rsidRPr="001E2023">
              <w:rPr>
                <w:b/>
                <w:noProof/>
                <w:sz w:val="16"/>
              </w:rPr>
              <w:t>Rok</w:t>
            </w:r>
            <w:r w:rsidRPr="001E2023">
              <w:rPr>
                <w:b/>
                <w:noProof/>
                <w:sz w:val="16"/>
              </w:rPr>
              <w:br/>
              <w:t>2027</w:t>
            </w:r>
          </w:p>
        </w:tc>
        <w:tc>
          <w:tcPr>
            <w:tcW w:w="1985" w:type="dxa"/>
            <w:tcBorders>
              <w:bottom w:val="single" w:sz="4" w:space="0" w:color="auto"/>
            </w:tcBorders>
            <w:vAlign w:val="center"/>
          </w:tcPr>
          <w:p w14:paraId="208A4DC0" w14:textId="77777777" w:rsidR="009F68BE" w:rsidRPr="001E2023" w:rsidRDefault="009F68BE" w:rsidP="00B63EEE">
            <w:pPr>
              <w:spacing w:before="60" w:after="60" w:line="200" w:lineRule="exact"/>
              <w:jc w:val="center"/>
              <w:rPr>
                <w:b/>
                <w:noProof/>
                <w:sz w:val="16"/>
                <w:szCs w:val="16"/>
              </w:rPr>
            </w:pPr>
            <w:r w:rsidRPr="001E2023">
              <w:rPr>
                <w:b/>
                <w:noProof/>
                <w:sz w:val="16"/>
              </w:rPr>
              <w:t>SPOLU</w:t>
            </w:r>
          </w:p>
        </w:tc>
      </w:tr>
      <w:tr w:rsidR="009F68BE" w:rsidRPr="001E2023" w14:paraId="0141DB6F" w14:textId="77777777" w:rsidTr="00DE5E39">
        <w:trPr>
          <w:gridAfter w:val="1"/>
          <w:wAfter w:w="1985" w:type="dxa"/>
          <w:trHeight w:val="395"/>
        </w:trPr>
        <w:tc>
          <w:tcPr>
            <w:tcW w:w="1980" w:type="dxa"/>
            <w:tcBorders>
              <w:top w:val="nil"/>
              <w:left w:val="nil"/>
              <w:bottom w:val="single" w:sz="4" w:space="0" w:color="auto"/>
              <w:right w:val="nil"/>
            </w:tcBorders>
            <w:shd w:val="clear" w:color="auto" w:fill="auto"/>
            <w:vAlign w:val="center"/>
          </w:tcPr>
          <w:p w14:paraId="3B526F54" w14:textId="77777777" w:rsidR="009F68BE" w:rsidRPr="001E2023" w:rsidRDefault="009F68BE" w:rsidP="004C280F">
            <w:pPr>
              <w:spacing w:before="60" w:after="60" w:line="200" w:lineRule="exact"/>
              <w:jc w:val="center"/>
              <w:rPr>
                <w:b/>
                <w:noProof/>
                <w:sz w:val="16"/>
              </w:rPr>
            </w:pPr>
          </w:p>
        </w:tc>
        <w:tc>
          <w:tcPr>
            <w:tcW w:w="1080" w:type="dxa"/>
            <w:tcBorders>
              <w:top w:val="nil"/>
              <w:left w:val="nil"/>
              <w:bottom w:val="nil"/>
              <w:right w:val="nil"/>
            </w:tcBorders>
            <w:shd w:val="clear" w:color="auto" w:fill="auto"/>
            <w:vAlign w:val="center"/>
          </w:tcPr>
          <w:p w14:paraId="6485C8BF" w14:textId="77777777" w:rsidR="009F68BE" w:rsidRPr="001E2023" w:rsidRDefault="009F68BE" w:rsidP="004C280F">
            <w:pPr>
              <w:spacing w:before="60" w:after="60" w:line="200" w:lineRule="exact"/>
              <w:jc w:val="center"/>
              <w:rPr>
                <w:noProof/>
                <w:sz w:val="16"/>
              </w:rPr>
            </w:pPr>
          </w:p>
        </w:tc>
        <w:tc>
          <w:tcPr>
            <w:tcW w:w="1080" w:type="dxa"/>
            <w:tcBorders>
              <w:top w:val="nil"/>
              <w:left w:val="nil"/>
              <w:bottom w:val="nil"/>
              <w:right w:val="nil"/>
            </w:tcBorders>
            <w:shd w:val="clear" w:color="auto" w:fill="auto"/>
            <w:vAlign w:val="center"/>
          </w:tcPr>
          <w:p w14:paraId="7B73426A" w14:textId="77777777" w:rsidR="009F68BE" w:rsidRPr="001E2023" w:rsidRDefault="009F68BE" w:rsidP="004C280F">
            <w:pPr>
              <w:spacing w:before="60" w:after="60" w:line="200" w:lineRule="exact"/>
              <w:jc w:val="center"/>
              <w:rPr>
                <w:noProof/>
                <w:sz w:val="16"/>
              </w:rPr>
            </w:pPr>
          </w:p>
        </w:tc>
        <w:tc>
          <w:tcPr>
            <w:tcW w:w="1080" w:type="dxa"/>
            <w:tcBorders>
              <w:top w:val="nil"/>
              <w:left w:val="nil"/>
              <w:bottom w:val="nil"/>
              <w:right w:val="nil"/>
            </w:tcBorders>
            <w:shd w:val="clear" w:color="auto" w:fill="auto"/>
            <w:vAlign w:val="center"/>
          </w:tcPr>
          <w:p w14:paraId="0FC7E674" w14:textId="77777777" w:rsidR="009F68BE" w:rsidRPr="001E2023" w:rsidRDefault="009F68BE" w:rsidP="004C280F">
            <w:pPr>
              <w:spacing w:before="60" w:after="60" w:line="200" w:lineRule="exact"/>
              <w:jc w:val="center"/>
              <w:rPr>
                <w:noProof/>
                <w:sz w:val="16"/>
              </w:rPr>
            </w:pPr>
          </w:p>
        </w:tc>
        <w:tc>
          <w:tcPr>
            <w:tcW w:w="1080" w:type="dxa"/>
            <w:tcBorders>
              <w:top w:val="nil"/>
              <w:left w:val="nil"/>
              <w:bottom w:val="nil"/>
              <w:right w:val="nil"/>
            </w:tcBorders>
            <w:shd w:val="clear" w:color="auto" w:fill="auto"/>
            <w:vAlign w:val="center"/>
          </w:tcPr>
          <w:p w14:paraId="02E0B30E" w14:textId="77777777" w:rsidR="009F68BE" w:rsidRPr="001E2023" w:rsidRDefault="009F68BE" w:rsidP="004C280F">
            <w:pPr>
              <w:spacing w:before="60" w:after="60" w:line="200" w:lineRule="exact"/>
              <w:jc w:val="center"/>
              <w:rPr>
                <w:noProof/>
                <w:sz w:val="16"/>
              </w:rPr>
            </w:pPr>
          </w:p>
        </w:tc>
      </w:tr>
      <w:tr w:rsidR="009F68BE" w:rsidRPr="001E2023" w14:paraId="4F067E74" w14:textId="77777777" w:rsidTr="009F68BE">
        <w:trPr>
          <w:gridAfter w:val="5"/>
          <w:wAfter w:w="6305" w:type="dxa"/>
          <w:trHeight w:val="585"/>
        </w:trPr>
        <w:tc>
          <w:tcPr>
            <w:tcW w:w="1980" w:type="dxa"/>
            <w:tcBorders>
              <w:top w:val="single" w:sz="4" w:space="0" w:color="auto"/>
              <w:right w:val="single" w:sz="4" w:space="0" w:color="auto"/>
            </w:tcBorders>
            <w:shd w:val="clear" w:color="auto" w:fill="CCCCCC"/>
            <w:vAlign w:val="center"/>
          </w:tcPr>
          <w:p w14:paraId="568BDF68" w14:textId="77777777" w:rsidR="009F68BE" w:rsidRPr="00DE5E39" w:rsidRDefault="009F68BE">
            <w:pPr>
              <w:spacing w:before="60" w:after="60" w:line="200" w:lineRule="exact"/>
              <w:jc w:val="center"/>
              <w:rPr>
                <w:b/>
                <w:noProof/>
                <w:sz w:val="16"/>
                <w:szCs w:val="16"/>
              </w:rPr>
            </w:pPr>
            <w:r w:rsidRPr="00DE5E39">
              <w:rPr>
                <w:noProof/>
                <w:sz w:val="16"/>
                <w:szCs w:val="16"/>
              </w:rPr>
              <w:t>OKRUH 7</w:t>
            </w:r>
            <w:r w:rsidRPr="00DE5E39">
              <w:rPr>
                <w:noProof/>
                <w:sz w:val="16"/>
                <w:szCs w:val="16"/>
              </w:rPr>
              <w:br/>
            </w:r>
            <w:r w:rsidRPr="00DE5E39">
              <w:rPr>
                <w:b/>
                <w:noProof/>
                <w:sz w:val="16"/>
                <w:szCs w:val="16"/>
              </w:rPr>
              <w:t>viacročného finančného rámca</w:t>
            </w:r>
          </w:p>
        </w:tc>
      </w:tr>
      <w:tr w:rsidR="00D46792" w:rsidRPr="001E2023" w14:paraId="06675C7D" w14:textId="77777777" w:rsidTr="009F68BE">
        <w:trPr>
          <w:trHeight w:val="585"/>
        </w:trPr>
        <w:tc>
          <w:tcPr>
            <w:tcW w:w="1980" w:type="dxa"/>
            <w:vAlign w:val="center"/>
          </w:tcPr>
          <w:p w14:paraId="472E0188" w14:textId="77777777" w:rsidR="00D46792" w:rsidRPr="00DE5E39" w:rsidRDefault="00D46792" w:rsidP="00D46792">
            <w:pPr>
              <w:spacing w:before="60" w:after="60" w:line="200" w:lineRule="exact"/>
              <w:ind w:left="72"/>
              <w:jc w:val="left"/>
              <w:rPr>
                <w:noProof/>
                <w:sz w:val="16"/>
                <w:szCs w:val="16"/>
              </w:rPr>
            </w:pPr>
            <w:r w:rsidRPr="00DE5E39">
              <w:rPr>
                <w:noProof/>
                <w:sz w:val="16"/>
                <w:szCs w:val="16"/>
              </w:rPr>
              <w:t xml:space="preserve">Ľudské zdroje </w:t>
            </w:r>
          </w:p>
        </w:tc>
        <w:tc>
          <w:tcPr>
            <w:tcW w:w="1080" w:type="dxa"/>
            <w:vAlign w:val="center"/>
          </w:tcPr>
          <w:p w14:paraId="4AFD8CA2"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0,712</w:t>
            </w:r>
          </w:p>
        </w:tc>
        <w:tc>
          <w:tcPr>
            <w:tcW w:w="1080" w:type="dxa"/>
            <w:vAlign w:val="center"/>
          </w:tcPr>
          <w:p w14:paraId="7C08EE9A"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0,712</w:t>
            </w:r>
          </w:p>
        </w:tc>
        <w:tc>
          <w:tcPr>
            <w:tcW w:w="1080" w:type="dxa"/>
            <w:vAlign w:val="center"/>
          </w:tcPr>
          <w:p w14:paraId="7DB67C48"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0,534</w:t>
            </w:r>
          </w:p>
        </w:tc>
        <w:tc>
          <w:tcPr>
            <w:tcW w:w="1080" w:type="dxa"/>
            <w:vAlign w:val="center"/>
          </w:tcPr>
          <w:p w14:paraId="5CCADD8D"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0,534</w:t>
            </w:r>
          </w:p>
        </w:tc>
        <w:tc>
          <w:tcPr>
            <w:tcW w:w="1985" w:type="dxa"/>
            <w:vAlign w:val="center"/>
          </w:tcPr>
          <w:p w14:paraId="6DA24CC0" w14:textId="77777777" w:rsidR="00D46792" w:rsidRPr="001E2023" w:rsidRDefault="00D46792" w:rsidP="00D46792">
            <w:pPr>
              <w:spacing w:before="0" w:after="200" w:line="276" w:lineRule="auto"/>
              <w:jc w:val="right"/>
              <w:rPr>
                <w:noProof/>
                <w:highlight w:val="yellow"/>
              </w:rPr>
            </w:pPr>
            <w:r w:rsidRPr="001E2023">
              <w:rPr>
                <w:b/>
                <w:noProof/>
                <w:sz w:val="20"/>
              </w:rPr>
              <w:t>2,492</w:t>
            </w:r>
          </w:p>
        </w:tc>
      </w:tr>
      <w:tr w:rsidR="00D46792" w:rsidRPr="001E2023" w14:paraId="6456B358" w14:textId="77777777" w:rsidTr="009F68BE">
        <w:trPr>
          <w:trHeight w:val="585"/>
        </w:trPr>
        <w:tc>
          <w:tcPr>
            <w:tcW w:w="1980" w:type="dxa"/>
            <w:vAlign w:val="center"/>
          </w:tcPr>
          <w:p w14:paraId="4653C8E7" w14:textId="77777777" w:rsidR="00D46792" w:rsidRPr="00DE5E39" w:rsidRDefault="00D46792" w:rsidP="00D46792">
            <w:pPr>
              <w:spacing w:before="60" w:after="60" w:line="200" w:lineRule="exact"/>
              <w:ind w:left="72"/>
              <w:jc w:val="left"/>
              <w:rPr>
                <w:noProof/>
                <w:sz w:val="16"/>
                <w:szCs w:val="16"/>
              </w:rPr>
            </w:pPr>
            <w:r w:rsidRPr="00DE5E39">
              <w:rPr>
                <w:noProof/>
                <w:sz w:val="16"/>
                <w:szCs w:val="16"/>
              </w:rPr>
              <w:t xml:space="preserve">Ostatné administratívne výdavky </w:t>
            </w:r>
          </w:p>
        </w:tc>
        <w:tc>
          <w:tcPr>
            <w:tcW w:w="1080" w:type="dxa"/>
            <w:vAlign w:val="center"/>
          </w:tcPr>
          <w:p w14:paraId="174F272D"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0,005</w:t>
            </w:r>
          </w:p>
        </w:tc>
        <w:tc>
          <w:tcPr>
            <w:tcW w:w="1080" w:type="dxa"/>
            <w:vAlign w:val="center"/>
          </w:tcPr>
          <w:p w14:paraId="529EBA58"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0,005</w:t>
            </w:r>
          </w:p>
        </w:tc>
        <w:tc>
          <w:tcPr>
            <w:tcW w:w="1080" w:type="dxa"/>
            <w:vAlign w:val="center"/>
          </w:tcPr>
          <w:p w14:paraId="2E5FA95F"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0,003</w:t>
            </w:r>
          </w:p>
        </w:tc>
        <w:tc>
          <w:tcPr>
            <w:tcW w:w="1080" w:type="dxa"/>
            <w:vAlign w:val="center"/>
          </w:tcPr>
          <w:p w14:paraId="26F16E77"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0,002</w:t>
            </w:r>
          </w:p>
        </w:tc>
        <w:tc>
          <w:tcPr>
            <w:tcW w:w="1985" w:type="dxa"/>
            <w:vAlign w:val="center"/>
          </w:tcPr>
          <w:p w14:paraId="1727939D" w14:textId="77777777" w:rsidR="00D46792" w:rsidRPr="001E2023" w:rsidRDefault="00D46792" w:rsidP="00D46792">
            <w:pPr>
              <w:spacing w:before="0" w:after="200" w:line="276" w:lineRule="auto"/>
              <w:jc w:val="right"/>
              <w:rPr>
                <w:noProof/>
                <w:highlight w:val="yellow"/>
              </w:rPr>
            </w:pPr>
            <w:r w:rsidRPr="001E2023">
              <w:rPr>
                <w:b/>
                <w:noProof/>
                <w:sz w:val="20"/>
              </w:rPr>
              <w:t>0,015</w:t>
            </w:r>
          </w:p>
        </w:tc>
      </w:tr>
      <w:tr w:rsidR="00D46792" w:rsidRPr="001E2023" w14:paraId="5C967538" w14:textId="77777777" w:rsidTr="009F68BE">
        <w:trPr>
          <w:trHeight w:val="585"/>
        </w:trPr>
        <w:tc>
          <w:tcPr>
            <w:tcW w:w="1980" w:type="dxa"/>
            <w:shd w:val="clear" w:color="auto" w:fill="CCCCCC"/>
            <w:vAlign w:val="center"/>
          </w:tcPr>
          <w:p w14:paraId="6D2B117B" w14:textId="77777777" w:rsidR="00D46792" w:rsidRPr="00DE5E39" w:rsidRDefault="00D46792" w:rsidP="00D46792">
            <w:pPr>
              <w:spacing w:before="60" w:after="60" w:line="200" w:lineRule="exact"/>
              <w:jc w:val="center"/>
              <w:rPr>
                <w:b/>
                <w:noProof/>
                <w:sz w:val="16"/>
                <w:szCs w:val="16"/>
              </w:rPr>
            </w:pPr>
            <w:r w:rsidRPr="00DE5E39">
              <w:rPr>
                <w:b/>
                <w:noProof/>
                <w:sz w:val="16"/>
                <w:szCs w:val="16"/>
              </w:rPr>
              <w:t>Medzisúčet OKRUHU 7</w:t>
            </w:r>
            <w:r w:rsidRPr="00DE5E39">
              <w:rPr>
                <w:noProof/>
                <w:sz w:val="16"/>
                <w:szCs w:val="16"/>
              </w:rPr>
              <w:br/>
            </w:r>
            <w:r w:rsidRPr="00DE5E39">
              <w:rPr>
                <w:b/>
                <w:noProof/>
                <w:sz w:val="16"/>
                <w:szCs w:val="16"/>
              </w:rPr>
              <w:t xml:space="preserve">viacročného finančného rámca </w:t>
            </w:r>
          </w:p>
        </w:tc>
        <w:tc>
          <w:tcPr>
            <w:tcW w:w="1080" w:type="dxa"/>
            <w:vAlign w:val="center"/>
          </w:tcPr>
          <w:p w14:paraId="284A85B5"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0,717</w:t>
            </w:r>
          </w:p>
        </w:tc>
        <w:tc>
          <w:tcPr>
            <w:tcW w:w="1080" w:type="dxa"/>
            <w:vAlign w:val="center"/>
          </w:tcPr>
          <w:p w14:paraId="4DF84B7E"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0,717</w:t>
            </w:r>
          </w:p>
        </w:tc>
        <w:tc>
          <w:tcPr>
            <w:tcW w:w="1080" w:type="dxa"/>
            <w:vAlign w:val="center"/>
          </w:tcPr>
          <w:p w14:paraId="4974F957"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0,537</w:t>
            </w:r>
          </w:p>
        </w:tc>
        <w:tc>
          <w:tcPr>
            <w:tcW w:w="1080" w:type="dxa"/>
            <w:vAlign w:val="center"/>
          </w:tcPr>
          <w:p w14:paraId="278E4CE8" w14:textId="77777777" w:rsidR="00D46792" w:rsidRPr="001E2023" w:rsidRDefault="00D46792" w:rsidP="00D46792">
            <w:pPr>
              <w:spacing w:before="60" w:after="60" w:line="200" w:lineRule="exact"/>
              <w:jc w:val="right"/>
              <w:rPr>
                <w:noProof/>
                <w:sz w:val="16"/>
                <w:szCs w:val="16"/>
                <w:highlight w:val="yellow"/>
              </w:rPr>
            </w:pPr>
            <w:r w:rsidRPr="001E2023">
              <w:rPr>
                <w:noProof/>
                <w:sz w:val="20"/>
              </w:rPr>
              <w:t>0,536</w:t>
            </w:r>
          </w:p>
        </w:tc>
        <w:tc>
          <w:tcPr>
            <w:tcW w:w="1985" w:type="dxa"/>
            <w:vAlign w:val="center"/>
          </w:tcPr>
          <w:p w14:paraId="19293301" w14:textId="77777777" w:rsidR="00D46792" w:rsidRPr="001E2023" w:rsidRDefault="00D46792" w:rsidP="00D46792">
            <w:pPr>
              <w:spacing w:before="0" w:after="200" w:line="276" w:lineRule="auto"/>
              <w:jc w:val="right"/>
              <w:rPr>
                <w:noProof/>
                <w:highlight w:val="yellow"/>
              </w:rPr>
            </w:pPr>
            <w:r w:rsidRPr="001E2023">
              <w:rPr>
                <w:b/>
                <w:noProof/>
                <w:sz w:val="20"/>
              </w:rPr>
              <w:t>2,507</w:t>
            </w:r>
          </w:p>
        </w:tc>
      </w:tr>
    </w:tbl>
    <w:p w14:paraId="131BC69B" w14:textId="77777777" w:rsidR="00EF7953" w:rsidRPr="001E2023" w:rsidRDefault="00EF7953">
      <w:pPr>
        <w:spacing w:line="200" w:lineRule="exact"/>
        <w:rPr>
          <w:noProof/>
          <w:sz w:val="16"/>
          <w:szCs w:val="16"/>
        </w:rPr>
      </w:pPr>
    </w:p>
    <w:tbl>
      <w:tblPr>
        <w:tblW w:w="828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905"/>
      </w:tblGrid>
      <w:tr w:rsidR="000547CE" w:rsidRPr="001E2023" w14:paraId="76AA2772" w14:textId="77777777" w:rsidTr="000547CE">
        <w:trPr>
          <w:gridAfter w:val="1"/>
          <w:wAfter w:w="905" w:type="dxa"/>
          <w:trHeight w:val="585"/>
        </w:trPr>
        <w:tc>
          <w:tcPr>
            <w:tcW w:w="1980" w:type="dxa"/>
            <w:tcBorders>
              <w:right w:val="single" w:sz="4" w:space="0" w:color="auto"/>
            </w:tcBorders>
            <w:shd w:val="clear" w:color="auto" w:fill="CCCCCC"/>
            <w:vAlign w:val="center"/>
          </w:tcPr>
          <w:p w14:paraId="2B9ED2F2" w14:textId="77777777" w:rsidR="001E2023" w:rsidRPr="001E2023" w:rsidRDefault="000547CE">
            <w:pPr>
              <w:spacing w:before="60" w:after="60" w:line="200" w:lineRule="exact"/>
              <w:jc w:val="center"/>
              <w:rPr>
                <w:b/>
                <w:noProof/>
                <w:sz w:val="16"/>
              </w:rPr>
            </w:pPr>
            <w:r w:rsidRPr="001E2023">
              <w:rPr>
                <w:b/>
                <w:noProof/>
                <w:sz w:val="16"/>
              </w:rPr>
              <w:t>Mimo OKRUHU 7</w:t>
            </w:r>
            <w:r w:rsidRPr="001E2023">
              <w:rPr>
                <w:rStyle w:val="Odkaznapoznmkupodiarou"/>
                <w:b/>
                <w:bCs/>
                <w:noProof/>
                <w:sz w:val="16"/>
                <w:szCs w:val="16"/>
              </w:rPr>
              <w:footnoteReference w:id="28"/>
            </w:r>
            <w:r w:rsidRPr="001E2023">
              <w:rPr>
                <w:noProof/>
                <w:sz w:val="22"/>
              </w:rPr>
              <w:br/>
            </w:r>
            <w:r w:rsidRPr="001E2023">
              <w:rPr>
                <w:b/>
                <w:noProof/>
                <w:sz w:val="16"/>
              </w:rPr>
              <w:t>viacročného finančného rámca</w:t>
            </w:r>
          </w:p>
          <w:p w14:paraId="070F4EF5" w14:textId="77777777" w:rsidR="000547CE" w:rsidRPr="001E2023" w:rsidRDefault="000547CE">
            <w:pPr>
              <w:spacing w:before="0" w:after="0" w:line="200" w:lineRule="exact"/>
              <w:jc w:val="center"/>
              <w:rPr>
                <w:b/>
                <w:noProof/>
                <w:sz w:val="16"/>
                <w:szCs w:val="16"/>
              </w:rPr>
            </w:pPr>
          </w:p>
        </w:tc>
        <w:tc>
          <w:tcPr>
            <w:tcW w:w="1080" w:type="dxa"/>
            <w:tcBorders>
              <w:top w:val="nil"/>
              <w:left w:val="single" w:sz="4" w:space="0" w:color="auto"/>
              <w:bottom w:val="single" w:sz="4" w:space="0" w:color="auto"/>
              <w:right w:val="nil"/>
            </w:tcBorders>
            <w:vAlign w:val="center"/>
          </w:tcPr>
          <w:p w14:paraId="7154B397" w14:textId="77777777" w:rsidR="000547CE" w:rsidRPr="001E2023" w:rsidRDefault="000547CE">
            <w:pPr>
              <w:spacing w:before="60" w:after="60" w:line="200" w:lineRule="exact"/>
              <w:jc w:val="right"/>
              <w:rPr>
                <w:noProof/>
                <w:sz w:val="16"/>
                <w:szCs w:val="16"/>
              </w:rPr>
            </w:pPr>
          </w:p>
        </w:tc>
        <w:tc>
          <w:tcPr>
            <w:tcW w:w="1080" w:type="dxa"/>
            <w:tcBorders>
              <w:top w:val="nil"/>
              <w:left w:val="nil"/>
              <w:bottom w:val="single" w:sz="4" w:space="0" w:color="auto"/>
              <w:right w:val="nil"/>
            </w:tcBorders>
            <w:vAlign w:val="center"/>
          </w:tcPr>
          <w:p w14:paraId="597A9699" w14:textId="77777777" w:rsidR="000547CE" w:rsidRPr="001E2023" w:rsidRDefault="000547CE">
            <w:pPr>
              <w:spacing w:before="60" w:after="60" w:line="200" w:lineRule="exact"/>
              <w:jc w:val="right"/>
              <w:rPr>
                <w:noProof/>
                <w:sz w:val="16"/>
                <w:szCs w:val="16"/>
              </w:rPr>
            </w:pPr>
          </w:p>
        </w:tc>
        <w:tc>
          <w:tcPr>
            <w:tcW w:w="1080" w:type="dxa"/>
            <w:tcBorders>
              <w:top w:val="nil"/>
              <w:left w:val="nil"/>
              <w:bottom w:val="single" w:sz="4" w:space="0" w:color="auto"/>
              <w:right w:val="nil"/>
            </w:tcBorders>
            <w:vAlign w:val="center"/>
          </w:tcPr>
          <w:p w14:paraId="4EF05767" w14:textId="77777777" w:rsidR="000547CE" w:rsidRPr="001E2023" w:rsidRDefault="000547CE">
            <w:pPr>
              <w:spacing w:before="60" w:after="60" w:line="200" w:lineRule="exact"/>
              <w:jc w:val="right"/>
              <w:rPr>
                <w:noProof/>
                <w:sz w:val="16"/>
                <w:szCs w:val="16"/>
              </w:rPr>
            </w:pPr>
          </w:p>
        </w:tc>
        <w:tc>
          <w:tcPr>
            <w:tcW w:w="1080" w:type="dxa"/>
            <w:tcBorders>
              <w:top w:val="nil"/>
              <w:left w:val="nil"/>
              <w:bottom w:val="single" w:sz="4" w:space="0" w:color="auto"/>
              <w:right w:val="nil"/>
            </w:tcBorders>
            <w:vAlign w:val="center"/>
          </w:tcPr>
          <w:p w14:paraId="7555F2DD" w14:textId="77777777" w:rsidR="000547CE" w:rsidRPr="001E2023" w:rsidRDefault="000547CE">
            <w:pPr>
              <w:spacing w:before="60" w:after="60" w:line="200" w:lineRule="exact"/>
              <w:jc w:val="right"/>
              <w:rPr>
                <w:noProof/>
                <w:sz w:val="16"/>
                <w:szCs w:val="16"/>
              </w:rPr>
            </w:pPr>
          </w:p>
        </w:tc>
        <w:tc>
          <w:tcPr>
            <w:tcW w:w="1080" w:type="dxa"/>
            <w:tcBorders>
              <w:top w:val="nil"/>
              <w:left w:val="nil"/>
              <w:bottom w:val="single" w:sz="4" w:space="0" w:color="auto"/>
              <w:right w:val="nil"/>
            </w:tcBorders>
            <w:vAlign w:val="center"/>
          </w:tcPr>
          <w:p w14:paraId="7D53106D" w14:textId="77777777" w:rsidR="000547CE" w:rsidRPr="001E2023" w:rsidRDefault="000547CE">
            <w:pPr>
              <w:spacing w:before="60" w:after="60" w:line="200" w:lineRule="exact"/>
              <w:jc w:val="right"/>
              <w:rPr>
                <w:b/>
                <w:noProof/>
                <w:sz w:val="16"/>
                <w:szCs w:val="16"/>
              </w:rPr>
            </w:pPr>
          </w:p>
        </w:tc>
      </w:tr>
      <w:tr w:rsidR="000547CE" w:rsidRPr="001E2023" w14:paraId="108440F7" w14:textId="77777777" w:rsidTr="000547CE">
        <w:trPr>
          <w:trHeight w:val="585"/>
        </w:trPr>
        <w:tc>
          <w:tcPr>
            <w:tcW w:w="1980" w:type="dxa"/>
            <w:vAlign w:val="center"/>
          </w:tcPr>
          <w:p w14:paraId="78B8385F" w14:textId="77777777" w:rsidR="000547CE" w:rsidRPr="001E2023" w:rsidRDefault="000547CE" w:rsidP="00860D8C">
            <w:pPr>
              <w:spacing w:before="60" w:after="60" w:line="200" w:lineRule="exact"/>
              <w:ind w:left="72"/>
              <w:jc w:val="left"/>
              <w:rPr>
                <w:noProof/>
                <w:sz w:val="16"/>
                <w:szCs w:val="16"/>
              </w:rPr>
            </w:pPr>
            <w:r w:rsidRPr="001E2023">
              <w:rPr>
                <w:noProof/>
                <w:sz w:val="16"/>
              </w:rPr>
              <w:t xml:space="preserve">Ľudské zdroje </w:t>
            </w:r>
          </w:p>
        </w:tc>
        <w:tc>
          <w:tcPr>
            <w:tcW w:w="1080" w:type="dxa"/>
            <w:tcBorders>
              <w:top w:val="single" w:sz="4" w:space="0" w:color="auto"/>
            </w:tcBorders>
            <w:vAlign w:val="center"/>
          </w:tcPr>
          <w:p w14:paraId="4E578D5F" w14:textId="77777777" w:rsidR="000547CE" w:rsidRPr="001E2023" w:rsidRDefault="000547CE" w:rsidP="00860D8C">
            <w:pPr>
              <w:spacing w:before="60" w:after="60" w:line="200" w:lineRule="exact"/>
              <w:jc w:val="right"/>
              <w:rPr>
                <w:noProof/>
                <w:sz w:val="16"/>
                <w:szCs w:val="16"/>
              </w:rPr>
            </w:pPr>
          </w:p>
        </w:tc>
        <w:tc>
          <w:tcPr>
            <w:tcW w:w="1080" w:type="dxa"/>
            <w:tcBorders>
              <w:top w:val="single" w:sz="4" w:space="0" w:color="auto"/>
            </w:tcBorders>
            <w:vAlign w:val="center"/>
          </w:tcPr>
          <w:p w14:paraId="0FD74EE8" w14:textId="77777777" w:rsidR="000547CE" w:rsidRPr="001E2023" w:rsidRDefault="000547CE" w:rsidP="00860D8C">
            <w:pPr>
              <w:spacing w:before="60" w:after="60" w:line="200" w:lineRule="exact"/>
              <w:jc w:val="right"/>
              <w:rPr>
                <w:noProof/>
                <w:sz w:val="16"/>
                <w:szCs w:val="16"/>
              </w:rPr>
            </w:pPr>
          </w:p>
        </w:tc>
        <w:tc>
          <w:tcPr>
            <w:tcW w:w="1080" w:type="dxa"/>
            <w:tcBorders>
              <w:top w:val="single" w:sz="4" w:space="0" w:color="auto"/>
            </w:tcBorders>
            <w:vAlign w:val="center"/>
          </w:tcPr>
          <w:p w14:paraId="51FAC224" w14:textId="77777777" w:rsidR="000547CE" w:rsidRPr="001E2023" w:rsidRDefault="000547CE" w:rsidP="00860D8C">
            <w:pPr>
              <w:spacing w:before="60" w:after="60" w:line="200" w:lineRule="exact"/>
              <w:jc w:val="right"/>
              <w:rPr>
                <w:noProof/>
                <w:sz w:val="16"/>
                <w:szCs w:val="16"/>
              </w:rPr>
            </w:pPr>
          </w:p>
        </w:tc>
        <w:tc>
          <w:tcPr>
            <w:tcW w:w="1080" w:type="dxa"/>
            <w:tcBorders>
              <w:top w:val="single" w:sz="4" w:space="0" w:color="auto"/>
            </w:tcBorders>
            <w:vAlign w:val="center"/>
          </w:tcPr>
          <w:p w14:paraId="1BF6D132" w14:textId="77777777" w:rsidR="000547CE" w:rsidRPr="001E2023" w:rsidRDefault="000547CE" w:rsidP="00860D8C">
            <w:pPr>
              <w:spacing w:before="60" w:after="60" w:line="200" w:lineRule="exact"/>
              <w:jc w:val="right"/>
              <w:rPr>
                <w:noProof/>
                <w:sz w:val="16"/>
                <w:szCs w:val="16"/>
              </w:rPr>
            </w:pPr>
          </w:p>
        </w:tc>
        <w:tc>
          <w:tcPr>
            <w:tcW w:w="1985" w:type="dxa"/>
            <w:gridSpan w:val="2"/>
            <w:vAlign w:val="center"/>
          </w:tcPr>
          <w:p w14:paraId="66C43724" w14:textId="77777777" w:rsidR="000547CE" w:rsidRPr="001E2023" w:rsidRDefault="000547CE" w:rsidP="00860D8C">
            <w:pPr>
              <w:spacing w:before="0" w:after="200" w:line="276" w:lineRule="auto"/>
              <w:jc w:val="left"/>
              <w:rPr>
                <w:noProof/>
              </w:rPr>
            </w:pPr>
          </w:p>
        </w:tc>
      </w:tr>
      <w:tr w:rsidR="000547CE" w:rsidRPr="001E2023" w14:paraId="19333B38" w14:textId="77777777" w:rsidTr="000547CE">
        <w:trPr>
          <w:trHeight w:val="585"/>
        </w:trPr>
        <w:tc>
          <w:tcPr>
            <w:tcW w:w="1980" w:type="dxa"/>
            <w:vAlign w:val="center"/>
          </w:tcPr>
          <w:p w14:paraId="3CBCF1E3" w14:textId="77777777" w:rsidR="000547CE" w:rsidRPr="001E2023" w:rsidRDefault="000547CE" w:rsidP="00860D8C">
            <w:pPr>
              <w:spacing w:before="60" w:after="60" w:line="200" w:lineRule="exact"/>
              <w:ind w:left="72"/>
              <w:jc w:val="left"/>
              <w:rPr>
                <w:noProof/>
                <w:sz w:val="16"/>
                <w:szCs w:val="16"/>
              </w:rPr>
            </w:pPr>
            <w:r w:rsidRPr="001E2023">
              <w:rPr>
                <w:noProof/>
                <w:sz w:val="16"/>
              </w:rPr>
              <w:t xml:space="preserve">Ostatné administratívne </w:t>
            </w:r>
            <w:r w:rsidRPr="001E2023">
              <w:rPr>
                <w:noProof/>
                <w:sz w:val="22"/>
              </w:rPr>
              <w:br/>
            </w:r>
            <w:r w:rsidRPr="001E2023">
              <w:rPr>
                <w:noProof/>
                <w:sz w:val="16"/>
              </w:rPr>
              <w:t>výdavky</w:t>
            </w:r>
          </w:p>
        </w:tc>
        <w:tc>
          <w:tcPr>
            <w:tcW w:w="1080" w:type="dxa"/>
            <w:vAlign w:val="center"/>
          </w:tcPr>
          <w:p w14:paraId="3798671C"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6CB8683F"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7984393C"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6094B8D8" w14:textId="77777777" w:rsidR="000547CE" w:rsidRPr="001E2023" w:rsidRDefault="000547CE" w:rsidP="00860D8C">
            <w:pPr>
              <w:spacing w:before="60" w:after="60" w:line="200" w:lineRule="exact"/>
              <w:jc w:val="right"/>
              <w:rPr>
                <w:noProof/>
                <w:sz w:val="16"/>
                <w:szCs w:val="16"/>
              </w:rPr>
            </w:pPr>
          </w:p>
        </w:tc>
        <w:tc>
          <w:tcPr>
            <w:tcW w:w="1985" w:type="dxa"/>
            <w:gridSpan w:val="2"/>
            <w:vAlign w:val="center"/>
          </w:tcPr>
          <w:p w14:paraId="44840EA9" w14:textId="77777777" w:rsidR="000547CE" w:rsidRPr="001E2023" w:rsidRDefault="000547CE" w:rsidP="00860D8C">
            <w:pPr>
              <w:spacing w:before="0" w:after="200" w:line="276" w:lineRule="auto"/>
              <w:jc w:val="left"/>
              <w:rPr>
                <w:noProof/>
              </w:rPr>
            </w:pPr>
          </w:p>
        </w:tc>
      </w:tr>
      <w:tr w:rsidR="000547CE" w:rsidRPr="001E2023" w14:paraId="1756EE90" w14:textId="77777777" w:rsidTr="000547CE">
        <w:trPr>
          <w:trHeight w:val="585"/>
        </w:trPr>
        <w:tc>
          <w:tcPr>
            <w:tcW w:w="1980" w:type="dxa"/>
            <w:shd w:val="clear" w:color="auto" w:fill="CCCCCC"/>
            <w:vAlign w:val="center"/>
          </w:tcPr>
          <w:p w14:paraId="5D73944E" w14:textId="77777777" w:rsidR="000547CE" w:rsidRPr="001E2023" w:rsidRDefault="000547CE" w:rsidP="00860D8C">
            <w:pPr>
              <w:spacing w:before="60" w:after="60" w:line="200" w:lineRule="exact"/>
              <w:jc w:val="center"/>
              <w:rPr>
                <w:b/>
                <w:noProof/>
                <w:sz w:val="16"/>
                <w:szCs w:val="16"/>
              </w:rPr>
            </w:pPr>
            <w:r w:rsidRPr="001E2023">
              <w:rPr>
                <w:b/>
                <w:noProof/>
                <w:sz w:val="16"/>
              </w:rPr>
              <w:t xml:space="preserve">Medzisúčet </w:t>
            </w:r>
            <w:r w:rsidRPr="001E2023">
              <w:rPr>
                <w:noProof/>
                <w:sz w:val="22"/>
              </w:rPr>
              <w:br/>
            </w:r>
            <w:r w:rsidRPr="001E2023">
              <w:rPr>
                <w:b/>
                <w:noProof/>
                <w:sz w:val="16"/>
              </w:rPr>
              <w:t>mimo OKRUHU 7</w:t>
            </w:r>
            <w:r w:rsidRPr="001E2023">
              <w:rPr>
                <w:noProof/>
                <w:sz w:val="22"/>
              </w:rPr>
              <w:br/>
            </w:r>
            <w:r w:rsidRPr="001E2023">
              <w:rPr>
                <w:b/>
                <w:noProof/>
                <w:sz w:val="16"/>
              </w:rPr>
              <w:t xml:space="preserve">viacročného finančného rámca </w:t>
            </w:r>
          </w:p>
        </w:tc>
        <w:tc>
          <w:tcPr>
            <w:tcW w:w="1080" w:type="dxa"/>
            <w:vAlign w:val="center"/>
          </w:tcPr>
          <w:p w14:paraId="360D60AF"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3A42E614"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33815233" w14:textId="77777777" w:rsidR="000547CE" w:rsidRPr="001E2023" w:rsidRDefault="000547CE" w:rsidP="00860D8C">
            <w:pPr>
              <w:spacing w:before="60" w:after="60" w:line="200" w:lineRule="exact"/>
              <w:jc w:val="right"/>
              <w:rPr>
                <w:noProof/>
                <w:sz w:val="16"/>
                <w:szCs w:val="16"/>
              </w:rPr>
            </w:pPr>
          </w:p>
        </w:tc>
        <w:tc>
          <w:tcPr>
            <w:tcW w:w="1080" w:type="dxa"/>
            <w:vAlign w:val="center"/>
          </w:tcPr>
          <w:p w14:paraId="033B4C91" w14:textId="77777777" w:rsidR="000547CE" w:rsidRPr="001E2023" w:rsidRDefault="000547CE" w:rsidP="00860D8C">
            <w:pPr>
              <w:spacing w:before="60" w:after="60" w:line="200" w:lineRule="exact"/>
              <w:jc w:val="right"/>
              <w:rPr>
                <w:noProof/>
                <w:sz w:val="16"/>
                <w:szCs w:val="16"/>
              </w:rPr>
            </w:pPr>
          </w:p>
        </w:tc>
        <w:tc>
          <w:tcPr>
            <w:tcW w:w="1985" w:type="dxa"/>
            <w:gridSpan w:val="2"/>
            <w:vAlign w:val="center"/>
          </w:tcPr>
          <w:p w14:paraId="14F50895" w14:textId="77777777" w:rsidR="000547CE" w:rsidRPr="001E2023" w:rsidRDefault="000547CE" w:rsidP="00860D8C">
            <w:pPr>
              <w:spacing w:before="0" w:after="200" w:line="276" w:lineRule="auto"/>
              <w:jc w:val="left"/>
              <w:rPr>
                <w:noProof/>
              </w:rPr>
            </w:pPr>
          </w:p>
        </w:tc>
      </w:tr>
    </w:tbl>
    <w:p w14:paraId="7D0AB7CA" w14:textId="77777777" w:rsidR="00EF7953" w:rsidRPr="001E2023" w:rsidRDefault="00EF7953">
      <w:pPr>
        <w:spacing w:line="200" w:lineRule="exact"/>
        <w:rPr>
          <w:noProof/>
          <w:sz w:val="16"/>
          <w:szCs w:val="16"/>
        </w:rPr>
      </w:pPr>
    </w:p>
    <w:tbl>
      <w:tblPr>
        <w:tblW w:w="8375"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0"/>
        <w:gridCol w:w="1080"/>
        <w:gridCol w:w="1080"/>
        <w:gridCol w:w="1080"/>
        <w:gridCol w:w="1080"/>
        <w:gridCol w:w="2075"/>
      </w:tblGrid>
      <w:tr w:rsidR="00D46792" w:rsidRPr="001E2023" w14:paraId="474990F1" w14:textId="77777777" w:rsidTr="000547CE">
        <w:trPr>
          <w:trHeight w:val="585"/>
        </w:trPr>
        <w:tc>
          <w:tcPr>
            <w:tcW w:w="1980" w:type="dxa"/>
            <w:tcBorders>
              <w:right w:val="single" w:sz="4" w:space="0" w:color="auto"/>
            </w:tcBorders>
            <w:vAlign w:val="center"/>
          </w:tcPr>
          <w:p w14:paraId="1F39CA67" w14:textId="77777777" w:rsidR="00D46792" w:rsidRPr="001E2023" w:rsidRDefault="00D46792" w:rsidP="00D46792">
            <w:pPr>
              <w:spacing w:before="60" w:after="60" w:line="200" w:lineRule="exact"/>
              <w:jc w:val="center"/>
              <w:rPr>
                <w:noProof/>
                <w:sz w:val="16"/>
                <w:szCs w:val="16"/>
              </w:rPr>
            </w:pPr>
            <w:r w:rsidRPr="001E2023">
              <w:rPr>
                <w:b/>
                <w:noProof/>
                <w:sz w:val="16"/>
              </w:rPr>
              <w:t>SPOLU</w:t>
            </w:r>
          </w:p>
        </w:tc>
        <w:tc>
          <w:tcPr>
            <w:tcW w:w="1080" w:type="dxa"/>
            <w:tcBorders>
              <w:left w:val="single" w:sz="4" w:space="0" w:color="auto"/>
              <w:right w:val="single" w:sz="4" w:space="0" w:color="auto"/>
            </w:tcBorders>
            <w:vAlign w:val="center"/>
          </w:tcPr>
          <w:p w14:paraId="07169B60" w14:textId="77777777" w:rsidR="00D46792" w:rsidRPr="001E2023" w:rsidRDefault="00D46792" w:rsidP="00D46792">
            <w:pPr>
              <w:spacing w:before="60" w:after="60" w:line="200" w:lineRule="exact"/>
              <w:jc w:val="right"/>
              <w:rPr>
                <w:b/>
                <w:noProof/>
                <w:sz w:val="16"/>
                <w:szCs w:val="16"/>
                <w:highlight w:val="yellow"/>
              </w:rPr>
            </w:pPr>
            <w:r w:rsidRPr="001E2023">
              <w:rPr>
                <w:noProof/>
                <w:sz w:val="20"/>
              </w:rPr>
              <w:t>0,717</w:t>
            </w:r>
          </w:p>
        </w:tc>
        <w:tc>
          <w:tcPr>
            <w:tcW w:w="1080" w:type="dxa"/>
            <w:tcBorders>
              <w:left w:val="single" w:sz="4" w:space="0" w:color="auto"/>
              <w:right w:val="single" w:sz="4" w:space="0" w:color="auto"/>
            </w:tcBorders>
            <w:vAlign w:val="center"/>
          </w:tcPr>
          <w:p w14:paraId="09537012" w14:textId="77777777" w:rsidR="00D46792" w:rsidRPr="001E2023" w:rsidRDefault="00D46792" w:rsidP="00D46792">
            <w:pPr>
              <w:spacing w:before="60" w:after="60" w:line="200" w:lineRule="exact"/>
              <w:jc w:val="right"/>
              <w:rPr>
                <w:b/>
                <w:noProof/>
                <w:sz w:val="16"/>
                <w:szCs w:val="16"/>
                <w:highlight w:val="yellow"/>
              </w:rPr>
            </w:pPr>
            <w:r w:rsidRPr="001E2023">
              <w:rPr>
                <w:noProof/>
                <w:sz w:val="20"/>
              </w:rPr>
              <w:t>0,717</w:t>
            </w:r>
          </w:p>
        </w:tc>
        <w:tc>
          <w:tcPr>
            <w:tcW w:w="1080" w:type="dxa"/>
            <w:tcBorders>
              <w:left w:val="single" w:sz="4" w:space="0" w:color="auto"/>
              <w:right w:val="single" w:sz="4" w:space="0" w:color="auto"/>
            </w:tcBorders>
            <w:vAlign w:val="center"/>
          </w:tcPr>
          <w:p w14:paraId="60FF0CDF" w14:textId="77777777" w:rsidR="00D46792" w:rsidRPr="001E2023" w:rsidRDefault="00D46792" w:rsidP="00D46792">
            <w:pPr>
              <w:spacing w:before="60" w:after="60" w:line="200" w:lineRule="exact"/>
              <w:jc w:val="right"/>
              <w:rPr>
                <w:b/>
                <w:noProof/>
                <w:sz w:val="16"/>
                <w:szCs w:val="16"/>
                <w:highlight w:val="yellow"/>
              </w:rPr>
            </w:pPr>
            <w:r w:rsidRPr="001E2023">
              <w:rPr>
                <w:noProof/>
                <w:sz w:val="20"/>
              </w:rPr>
              <w:t>0,537</w:t>
            </w:r>
          </w:p>
        </w:tc>
        <w:tc>
          <w:tcPr>
            <w:tcW w:w="1080" w:type="dxa"/>
            <w:tcBorders>
              <w:left w:val="single" w:sz="4" w:space="0" w:color="auto"/>
              <w:right w:val="single" w:sz="4" w:space="0" w:color="auto"/>
            </w:tcBorders>
            <w:vAlign w:val="center"/>
          </w:tcPr>
          <w:p w14:paraId="339DB8E7" w14:textId="77777777" w:rsidR="00D46792" w:rsidRPr="001E2023" w:rsidRDefault="00D46792" w:rsidP="00D46792">
            <w:pPr>
              <w:spacing w:before="60" w:after="60" w:line="200" w:lineRule="exact"/>
              <w:jc w:val="right"/>
              <w:rPr>
                <w:b/>
                <w:noProof/>
                <w:sz w:val="16"/>
                <w:szCs w:val="16"/>
                <w:highlight w:val="yellow"/>
              </w:rPr>
            </w:pPr>
            <w:r w:rsidRPr="001E2023">
              <w:rPr>
                <w:noProof/>
                <w:sz w:val="20"/>
              </w:rPr>
              <w:t>0,536</w:t>
            </w:r>
          </w:p>
        </w:tc>
        <w:tc>
          <w:tcPr>
            <w:tcW w:w="2075" w:type="dxa"/>
            <w:tcBorders>
              <w:left w:val="single" w:sz="4" w:space="0" w:color="auto"/>
              <w:right w:val="single" w:sz="4" w:space="0" w:color="auto"/>
            </w:tcBorders>
            <w:vAlign w:val="center"/>
          </w:tcPr>
          <w:p w14:paraId="44CB535B" w14:textId="77777777" w:rsidR="00D46792" w:rsidRPr="001E2023" w:rsidRDefault="00D46792" w:rsidP="00D46792">
            <w:pPr>
              <w:spacing w:before="60" w:after="60" w:line="200" w:lineRule="exact"/>
              <w:jc w:val="right"/>
              <w:rPr>
                <w:b/>
                <w:noProof/>
                <w:sz w:val="16"/>
                <w:szCs w:val="16"/>
                <w:highlight w:val="yellow"/>
              </w:rPr>
            </w:pPr>
            <w:r w:rsidRPr="001E2023">
              <w:rPr>
                <w:b/>
                <w:noProof/>
                <w:sz w:val="20"/>
              </w:rPr>
              <w:t>2,507</w:t>
            </w:r>
          </w:p>
        </w:tc>
      </w:tr>
    </w:tbl>
    <w:p w14:paraId="6C4A40F2" w14:textId="77777777" w:rsidR="00EF7953" w:rsidRPr="001E2023" w:rsidRDefault="00EF7953">
      <w:pPr>
        <w:rPr>
          <w:noProof/>
          <w:sz w:val="18"/>
        </w:rPr>
      </w:pPr>
      <w:r w:rsidRPr="001E2023">
        <w:rPr>
          <w:noProof/>
          <w:sz w:val="18"/>
        </w:rPr>
        <w:t>Rozpočtové prostriedky potrebné na ľudské zdroje</w:t>
      </w:r>
      <w:r w:rsidR="001E2023">
        <w:rPr>
          <w:noProof/>
          <w:sz w:val="18"/>
        </w:rPr>
        <w:t xml:space="preserve"> a </w:t>
      </w:r>
      <w:r w:rsidRPr="001E2023">
        <w:rPr>
          <w:noProof/>
          <w:sz w:val="18"/>
        </w:rPr>
        <w:t>na ostatné administratívne výdavky budú pokryté rozpočtovými prostriedkami GR, ktoré už boli pridelené na riadenie akcie a/alebo boli prerozdelené</w:t>
      </w:r>
      <w:r w:rsidR="001E2023">
        <w:rPr>
          <w:noProof/>
          <w:sz w:val="18"/>
        </w:rPr>
        <w:t xml:space="preserve"> v </w:t>
      </w:r>
      <w:r w:rsidRPr="001E2023">
        <w:rPr>
          <w:noProof/>
          <w:sz w:val="18"/>
        </w:rPr>
        <w:t>rámci GR,</w:t>
      </w:r>
      <w:r w:rsidR="001E2023">
        <w:rPr>
          <w:noProof/>
          <w:sz w:val="18"/>
        </w:rPr>
        <w:t xml:space="preserve"> a v </w:t>
      </w:r>
      <w:r w:rsidRPr="001E2023">
        <w:rPr>
          <w:noProof/>
          <w:sz w:val="18"/>
        </w:rPr>
        <w:t>prípade potreby budú doplnené zdrojmi, ktoré sa môžu prideliť riadiacemu GR</w:t>
      </w:r>
      <w:r w:rsidR="001E2023">
        <w:rPr>
          <w:noProof/>
          <w:sz w:val="18"/>
        </w:rPr>
        <w:t xml:space="preserve"> v </w:t>
      </w:r>
      <w:r w:rsidRPr="001E2023">
        <w:rPr>
          <w:noProof/>
          <w:sz w:val="18"/>
        </w:rPr>
        <w:t>rámci ročného postupu prideľovania zdrojov</w:t>
      </w:r>
      <w:r w:rsidR="001E2023">
        <w:rPr>
          <w:noProof/>
          <w:sz w:val="18"/>
        </w:rPr>
        <w:t xml:space="preserve"> a v </w:t>
      </w:r>
      <w:r w:rsidRPr="001E2023">
        <w:rPr>
          <w:noProof/>
          <w:sz w:val="18"/>
        </w:rPr>
        <w:t>závislosti od rozpočtových obmedzení.</w:t>
      </w:r>
    </w:p>
    <w:p w14:paraId="77AA641E" w14:textId="77777777" w:rsidR="00EF7953" w:rsidRPr="001E2023" w:rsidRDefault="00EF7953">
      <w:pPr>
        <w:rPr>
          <w:noProof/>
          <w:sz w:val="18"/>
        </w:rPr>
        <w:sectPr w:rsidR="00EF7953" w:rsidRPr="001E2023" w:rsidSect="003F317C">
          <w:headerReference w:type="default" r:id="rId22"/>
          <w:footerReference w:type="default" r:id="rId23"/>
          <w:pgSz w:w="11907" w:h="16840"/>
          <w:pgMar w:top="1134" w:right="1418" w:bottom="1134" w:left="1418" w:header="709" w:footer="709" w:gutter="0"/>
          <w:cols w:space="708"/>
          <w:docGrid w:linePitch="360"/>
        </w:sectPr>
      </w:pPr>
    </w:p>
    <w:p w14:paraId="5ECFDBCA" w14:textId="77777777" w:rsidR="001E2023" w:rsidRPr="001E2023" w:rsidRDefault="00EF7953">
      <w:pPr>
        <w:pStyle w:val="ManualHeading4"/>
        <w:rPr>
          <w:noProof/>
        </w:rPr>
      </w:pPr>
      <w:bookmarkStart w:id="64" w:name="_Toc82C9CE6E4E1F470F8F09B4938A67F539"/>
      <w:r w:rsidRPr="001E2023">
        <w:rPr>
          <w:noProof/>
        </w:rPr>
        <w:t>3.2.3.1.</w:t>
      </w:r>
      <w:r w:rsidRPr="001E2023">
        <w:rPr>
          <w:noProof/>
        </w:rPr>
        <w:tab/>
        <w:t>Odhadovaná potreba ľudských zdrojov</w:t>
      </w:r>
      <w:bookmarkEnd w:id="64"/>
    </w:p>
    <w:p w14:paraId="672FCF30" w14:textId="77777777" w:rsidR="001E2023" w:rsidRPr="001E2023" w:rsidRDefault="00EF7953">
      <w:pPr>
        <w:pStyle w:val="ListDash1"/>
        <w:rPr>
          <w:noProof/>
        </w:rPr>
      </w:pPr>
      <w:r w:rsidRPr="001E2023">
        <w:rPr>
          <w:rFonts w:ascii="Wingdings" w:hAnsi="Wingdings"/>
          <w:noProof/>
        </w:rPr>
        <w:t></w:t>
      </w:r>
      <w:r w:rsidRPr="001E2023">
        <w:rPr>
          <w:noProof/>
        </w:rPr>
        <w:tab/>
        <w:t>Návrh/iniciatíva si nevyžaduje použitie ľudských zdrojov</w:t>
      </w:r>
      <w:r w:rsidR="001E2023" w:rsidRPr="001E2023">
        <w:rPr>
          <w:noProof/>
        </w:rPr>
        <w:t>.</w:t>
      </w:r>
    </w:p>
    <w:p w14:paraId="302C597A" w14:textId="77777777" w:rsidR="00EF7953" w:rsidRPr="001E2023" w:rsidRDefault="00541013">
      <w:pPr>
        <w:pStyle w:val="ListDash1"/>
        <w:rPr>
          <w:noProof/>
        </w:rPr>
      </w:pPr>
      <w:sdt>
        <w:sdtPr>
          <w:rPr>
            <w:rFonts w:ascii="Wingdings" w:eastAsia="Wingdings" w:hAnsi="Wingdings" w:cs="Wingdings"/>
            <w:noProof/>
          </w:rPr>
          <w:id w:val="-703098940"/>
          <w14:checkbox>
            <w14:checked w14:val="1"/>
            <w14:checkedState w14:val="2612" w14:font="MS Gothic"/>
            <w14:uncheckedState w14:val="2610" w14:font="MS Gothic"/>
          </w14:checkbox>
        </w:sdtPr>
        <w:sdtEndPr/>
        <w:sdtContent>
          <w:r w:rsidR="0087009D" w:rsidRPr="001E2023">
            <w:rPr>
              <w:rFonts w:ascii="MS Gothic" w:eastAsia="MS Gothic" w:hAnsi="MS Gothic" w:cs="Wingdings"/>
              <w:noProof/>
            </w:rPr>
            <w:t>☒</w:t>
          </w:r>
        </w:sdtContent>
      </w:sdt>
      <w:r w:rsidR="00B21B48" w:rsidRPr="001E2023">
        <w:rPr>
          <w:rFonts w:ascii="Wingdings" w:hAnsi="Wingdings"/>
          <w:noProof/>
        </w:rPr>
        <w:t></w:t>
      </w:r>
      <w:r w:rsidR="00B21B48" w:rsidRPr="001E2023">
        <w:rPr>
          <w:noProof/>
        </w:rPr>
        <w:t>Návrh/iniciatíva si vyžaduje použitie týchto ľudských zdrojov:</w:t>
      </w:r>
    </w:p>
    <w:p w14:paraId="30716C85" w14:textId="77777777" w:rsidR="00EF7953" w:rsidRPr="001E2023" w:rsidRDefault="00EF7953">
      <w:pPr>
        <w:spacing w:after="60"/>
        <w:jc w:val="right"/>
        <w:rPr>
          <w:i/>
          <w:noProof/>
          <w:sz w:val="20"/>
        </w:rPr>
      </w:pPr>
      <w:r w:rsidRPr="001E2023">
        <w:rPr>
          <w:i/>
          <w:noProof/>
          <w:sz w:val="20"/>
        </w:rPr>
        <w:t>odhady sa vyjadrujú</w:t>
      </w:r>
      <w:r w:rsidR="001E2023">
        <w:rPr>
          <w:i/>
          <w:noProof/>
          <w:sz w:val="20"/>
        </w:rPr>
        <w:t xml:space="preserve"> v </w:t>
      </w:r>
      <w:r w:rsidRPr="001E2023">
        <w:rPr>
          <w:i/>
          <w:noProof/>
          <w:sz w:val="20"/>
        </w:rPr>
        <w:t>ekvivalente plného pracovného času</w:t>
      </w:r>
    </w:p>
    <w:tbl>
      <w:tblPr>
        <w:tblW w:w="76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98"/>
        <w:gridCol w:w="597"/>
        <w:gridCol w:w="1781"/>
        <w:gridCol w:w="731"/>
        <w:gridCol w:w="731"/>
        <w:gridCol w:w="731"/>
        <w:gridCol w:w="731"/>
      </w:tblGrid>
      <w:tr w:rsidR="00284093" w:rsidRPr="001E2023" w14:paraId="66836551" w14:textId="77777777" w:rsidTr="00284093">
        <w:trPr>
          <w:gridBefore w:val="1"/>
          <w:wBefore w:w="15" w:type="dxa"/>
          <w:trHeight w:val="289"/>
          <w:jc w:val="center"/>
        </w:trPr>
        <w:tc>
          <w:tcPr>
            <w:tcW w:w="4754" w:type="dxa"/>
            <w:gridSpan w:val="4"/>
            <w:shd w:val="clear" w:color="auto" w:fill="auto"/>
          </w:tcPr>
          <w:p w14:paraId="0A5D03EF" w14:textId="77777777" w:rsidR="00284093" w:rsidRPr="001E2023" w:rsidRDefault="00284093">
            <w:pPr>
              <w:pStyle w:val="Text1"/>
              <w:spacing w:before="40" w:after="40"/>
              <w:ind w:left="0"/>
              <w:jc w:val="center"/>
              <w:rPr>
                <w:i/>
                <w:noProof/>
                <w:sz w:val="16"/>
                <w:szCs w:val="16"/>
              </w:rPr>
            </w:pPr>
          </w:p>
        </w:tc>
        <w:tc>
          <w:tcPr>
            <w:tcW w:w="731" w:type="dxa"/>
            <w:shd w:val="clear" w:color="auto" w:fill="auto"/>
            <w:vAlign w:val="center"/>
          </w:tcPr>
          <w:p w14:paraId="2D6CA498" w14:textId="77777777" w:rsidR="00284093" w:rsidRPr="001E2023" w:rsidRDefault="00284093">
            <w:pPr>
              <w:spacing w:before="20" w:after="20"/>
              <w:jc w:val="center"/>
              <w:rPr>
                <w:b/>
                <w:bCs/>
                <w:noProof/>
                <w:sz w:val="16"/>
                <w:szCs w:val="16"/>
              </w:rPr>
            </w:pPr>
            <w:r w:rsidRPr="001E2023">
              <w:rPr>
                <w:b/>
                <w:noProof/>
                <w:sz w:val="16"/>
              </w:rPr>
              <w:t>Rok</w:t>
            </w:r>
            <w:r w:rsidRPr="001E2023">
              <w:rPr>
                <w:b/>
                <w:noProof/>
                <w:sz w:val="22"/>
              </w:rPr>
              <w:br/>
            </w:r>
            <w:r w:rsidRPr="001E2023">
              <w:rPr>
                <w:b/>
                <w:noProof/>
                <w:sz w:val="16"/>
              </w:rPr>
              <w:t>2024</w:t>
            </w:r>
          </w:p>
        </w:tc>
        <w:tc>
          <w:tcPr>
            <w:tcW w:w="731" w:type="dxa"/>
            <w:shd w:val="clear" w:color="auto" w:fill="auto"/>
            <w:vAlign w:val="center"/>
          </w:tcPr>
          <w:p w14:paraId="3BF31A9C" w14:textId="77777777" w:rsidR="00284093" w:rsidRPr="001E2023" w:rsidRDefault="00284093">
            <w:pPr>
              <w:spacing w:before="20" w:after="20"/>
              <w:jc w:val="center"/>
              <w:rPr>
                <w:b/>
                <w:bCs/>
                <w:noProof/>
                <w:sz w:val="16"/>
                <w:szCs w:val="16"/>
              </w:rPr>
            </w:pPr>
            <w:r w:rsidRPr="001E2023">
              <w:rPr>
                <w:b/>
                <w:noProof/>
                <w:sz w:val="16"/>
              </w:rPr>
              <w:t>Rok</w:t>
            </w:r>
            <w:r w:rsidRPr="001E2023">
              <w:rPr>
                <w:b/>
                <w:noProof/>
                <w:sz w:val="22"/>
              </w:rPr>
              <w:br/>
            </w:r>
            <w:r w:rsidRPr="001E2023">
              <w:rPr>
                <w:b/>
                <w:noProof/>
                <w:sz w:val="16"/>
              </w:rPr>
              <w:t>2025</w:t>
            </w:r>
          </w:p>
        </w:tc>
        <w:tc>
          <w:tcPr>
            <w:tcW w:w="731" w:type="dxa"/>
            <w:shd w:val="clear" w:color="auto" w:fill="auto"/>
            <w:vAlign w:val="center"/>
          </w:tcPr>
          <w:p w14:paraId="78509FC5" w14:textId="77777777" w:rsidR="00284093" w:rsidRPr="001E2023" w:rsidRDefault="00284093">
            <w:pPr>
              <w:spacing w:before="20" w:after="20"/>
              <w:jc w:val="center"/>
              <w:rPr>
                <w:b/>
                <w:bCs/>
                <w:noProof/>
                <w:sz w:val="16"/>
                <w:szCs w:val="16"/>
              </w:rPr>
            </w:pPr>
            <w:r w:rsidRPr="001E2023">
              <w:rPr>
                <w:b/>
                <w:noProof/>
                <w:sz w:val="16"/>
              </w:rPr>
              <w:t>Rok 2026</w:t>
            </w:r>
          </w:p>
        </w:tc>
        <w:tc>
          <w:tcPr>
            <w:tcW w:w="731" w:type="dxa"/>
            <w:shd w:val="clear" w:color="auto" w:fill="auto"/>
            <w:vAlign w:val="center"/>
          </w:tcPr>
          <w:p w14:paraId="480E453F" w14:textId="77777777" w:rsidR="00284093" w:rsidRPr="001E2023" w:rsidRDefault="00284093">
            <w:pPr>
              <w:spacing w:before="20" w:after="20"/>
              <w:jc w:val="center"/>
              <w:rPr>
                <w:b/>
                <w:bCs/>
                <w:noProof/>
                <w:sz w:val="16"/>
                <w:szCs w:val="16"/>
              </w:rPr>
            </w:pPr>
            <w:r w:rsidRPr="001E2023">
              <w:rPr>
                <w:b/>
                <w:noProof/>
                <w:sz w:val="16"/>
              </w:rPr>
              <w:t>Rok 2027</w:t>
            </w:r>
          </w:p>
        </w:tc>
      </w:tr>
      <w:tr w:rsidR="00284093" w:rsidRPr="001E2023" w14:paraId="56A2A97A" w14:textId="77777777" w:rsidTr="00284093">
        <w:trPr>
          <w:gridBefore w:val="1"/>
          <w:wBefore w:w="15" w:type="dxa"/>
          <w:trHeight w:val="289"/>
          <w:jc w:val="center"/>
        </w:trPr>
        <w:tc>
          <w:tcPr>
            <w:tcW w:w="4754" w:type="dxa"/>
            <w:gridSpan w:val="4"/>
            <w:shd w:val="clear" w:color="auto" w:fill="auto"/>
            <w:vAlign w:val="center"/>
          </w:tcPr>
          <w:p w14:paraId="59D2AFB0" w14:textId="77777777" w:rsidR="00284093" w:rsidRPr="001E2023" w:rsidRDefault="00284093">
            <w:pPr>
              <w:pStyle w:val="Text1"/>
              <w:spacing w:beforeLines="20" w:before="48" w:afterLines="20" w:after="48"/>
              <w:ind w:left="134"/>
              <w:jc w:val="left"/>
              <w:rPr>
                <w:noProof/>
                <w:sz w:val="16"/>
              </w:rPr>
            </w:pPr>
          </w:p>
        </w:tc>
        <w:tc>
          <w:tcPr>
            <w:tcW w:w="731" w:type="dxa"/>
            <w:shd w:val="clear" w:color="auto" w:fill="auto"/>
            <w:vAlign w:val="center"/>
          </w:tcPr>
          <w:p w14:paraId="02AAD5EC"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6EDD702F"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025B6C9"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01E2033B" w14:textId="77777777" w:rsidR="00284093" w:rsidRPr="001E2023" w:rsidRDefault="00284093">
            <w:pPr>
              <w:spacing w:beforeLines="20" w:before="48" w:afterLines="20" w:after="48"/>
              <w:jc w:val="center"/>
              <w:rPr>
                <w:noProof/>
                <w:sz w:val="16"/>
                <w:szCs w:val="16"/>
              </w:rPr>
            </w:pPr>
          </w:p>
        </w:tc>
      </w:tr>
      <w:tr w:rsidR="00284093" w:rsidRPr="001E2023" w14:paraId="11613DE2" w14:textId="77777777" w:rsidTr="00284093">
        <w:trPr>
          <w:gridBefore w:val="1"/>
          <w:wBefore w:w="15" w:type="dxa"/>
          <w:trHeight w:val="289"/>
          <w:jc w:val="center"/>
        </w:trPr>
        <w:tc>
          <w:tcPr>
            <w:tcW w:w="4754" w:type="dxa"/>
            <w:gridSpan w:val="4"/>
            <w:shd w:val="clear" w:color="auto" w:fill="auto"/>
            <w:vAlign w:val="center"/>
          </w:tcPr>
          <w:p w14:paraId="394C8C42" w14:textId="77777777" w:rsidR="00284093" w:rsidRPr="001E2023" w:rsidRDefault="00284093">
            <w:pPr>
              <w:pStyle w:val="Text1"/>
              <w:spacing w:beforeLines="20" w:before="48" w:afterLines="20" w:after="48"/>
              <w:ind w:left="134"/>
              <w:jc w:val="left"/>
              <w:rPr>
                <w:b/>
                <w:noProof/>
                <w:sz w:val="16"/>
                <w:szCs w:val="16"/>
              </w:rPr>
            </w:pPr>
            <w:r w:rsidRPr="001E2023">
              <w:rPr>
                <w:noProof/>
                <w:sz w:val="16"/>
              </w:rPr>
              <w:t>20 01 02 01</w:t>
            </w:r>
            <w:r w:rsidRPr="001E2023">
              <w:rPr>
                <w:rFonts w:ascii="Arial Narrow" w:hAnsi="Arial Narrow"/>
                <w:noProof/>
                <w:color w:val="000000"/>
                <w:sz w:val="20"/>
              </w:rPr>
              <w:t xml:space="preserve"> </w:t>
            </w:r>
            <w:r w:rsidRPr="001E2023">
              <w:rPr>
                <w:noProof/>
                <w:sz w:val="16"/>
              </w:rPr>
              <w:t>(ústredie</w:t>
            </w:r>
            <w:r w:rsidR="001E2023">
              <w:rPr>
                <w:noProof/>
                <w:sz w:val="16"/>
              </w:rPr>
              <w:t xml:space="preserve"> a </w:t>
            </w:r>
            <w:r w:rsidRPr="001E2023">
              <w:rPr>
                <w:noProof/>
                <w:sz w:val="16"/>
              </w:rPr>
              <w:t>zastúpenia Komisie)</w:t>
            </w:r>
          </w:p>
        </w:tc>
        <w:tc>
          <w:tcPr>
            <w:tcW w:w="731" w:type="dxa"/>
            <w:shd w:val="clear" w:color="auto" w:fill="auto"/>
            <w:vAlign w:val="center"/>
          </w:tcPr>
          <w:p w14:paraId="48AD8FC6" w14:textId="77777777" w:rsidR="00284093" w:rsidRPr="001E2023" w:rsidRDefault="00284093">
            <w:pPr>
              <w:spacing w:beforeLines="20" w:before="48" w:afterLines="20" w:after="48"/>
              <w:jc w:val="center"/>
              <w:rPr>
                <w:noProof/>
                <w:sz w:val="16"/>
                <w:szCs w:val="16"/>
              </w:rPr>
            </w:pPr>
            <w:r w:rsidRPr="001E2023">
              <w:rPr>
                <w:noProof/>
                <w:sz w:val="16"/>
              </w:rPr>
              <w:t>4</w:t>
            </w:r>
          </w:p>
        </w:tc>
        <w:tc>
          <w:tcPr>
            <w:tcW w:w="731" w:type="dxa"/>
            <w:shd w:val="clear" w:color="auto" w:fill="auto"/>
            <w:vAlign w:val="center"/>
          </w:tcPr>
          <w:p w14:paraId="457189ED" w14:textId="77777777" w:rsidR="00284093" w:rsidRPr="001E2023" w:rsidRDefault="00284093">
            <w:pPr>
              <w:spacing w:beforeLines="20" w:before="48" w:afterLines="20" w:after="48"/>
              <w:jc w:val="center"/>
              <w:rPr>
                <w:noProof/>
                <w:sz w:val="16"/>
                <w:szCs w:val="16"/>
              </w:rPr>
            </w:pPr>
            <w:r w:rsidRPr="001E2023">
              <w:rPr>
                <w:noProof/>
                <w:sz w:val="16"/>
              </w:rPr>
              <w:t>4</w:t>
            </w:r>
          </w:p>
        </w:tc>
        <w:tc>
          <w:tcPr>
            <w:tcW w:w="731" w:type="dxa"/>
            <w:shd w:val="clear" w:color="auto" w:fill="auto"/>
            <w:vAlign w:val="center"/>
          </w:tcPr>
          <w:p w14:paraId="2FC531A0" w14:textId="77777777" w:rsidR="00284093" w:rsidRPr="001E2023" w:rsidRDefault="00284093">
            <w:pPr>
              <w:spacing w:beforeLines="20" w:before="48" w:afterLines="20" w:after="48"/>
              <w:jc w:val="center"/>
              <w:rPr>
                <w:noProof/>
                <w:sz w:val="16"/>
                <w:szCs w:val="16"/>
              </w:rPr>
            </w:pPr>
            <w:r w:rsidRPr="001E2023">
              <w:rPr>
                <w:noProof/>
                <w:sz w:val="16"/>
              </w:rPr>
              <w:t>3</w:t>
            </w:r>
          </w:p>
        </w:tc>
        <w:tc>
          <w:tcPr>
            <w:tcW w:w="731" w:type="dxa"/>
            <w:shd w:val="clear" w:color="auto" w:fill="auto"/>
            <w:vAlign w:val="center"/>
          </w:tcPr>
          <w:p w14:paraId="3B0D8983" w14:textId="77777777" w:rsidR="00284093" w:rsidRPr="001E2023" w:rsidRDefault="00284093">
            <w:pPr>
              <w:spacing w:beforeLines="20" w:before="48" w:afterLines="20" w:after="48"/>
              <w:jc w:val="center"/>
              <w:rPr>
                <w:noProof/>
                <w:sz w:val="16"/>
                <w:szCs w:val="16"/>
              </w:rPr>
            </w:pPr>
            <w:r w:rsidRPr="001E2023">
              <w:rPr>
                <w:noProof/>
                <w:sz w:val="16"/>
              </w:rPr>
              <w:t>3</w:t>
            </w:r>
          </w:p>
        </w:tc>
      </w:tr>
      <w:tr w:rsidR="00284093" w:rsidRPr="001E2023" w14:paraId="2B130D9C" w14:textId="77777777" w:rsidTr="00284093">
        <w:trPr>
          <w:gridBefore w:val="1"/>
          <w:wBefore w:w="15" w:type="dxa"/>
          <w:trHeight w:val="289"/>
          <w:jc w:val="center"/>
        </w:trPr>
        <w:tc>
          <w:tcPr>
            <w:tcW w:w="4754" w:type="dxa"/>
            <w:gridSpan w:val="4"/>
            <w:shd w:val="clear" w:color="auto" w:fill="auto"/>
            <w:vAlign w:val="center"/>
          </w:tcPr>
          <w:p w14:paraId="5A8FD207" w14:textId="77777777" w:rsidR="00284093" w:rsidRPr="001E2023" w:rsidRDefault="00284093">
            <w:pPr>
              <w:pStyle w:val="Text1"/>
              <w:spacing w:beforeLines="20" w:before="48" w:afterLines="20" w:after="48"/>
              <w:ind w:left="134"/>
              <w:jc w:val="left"/>
              <w:rPr>
                <w:noProof/>
                <w:sz w:val="16"/>
              </w:rPr>
            </w:pPr>
            <w:r w:rsidRPr="001E2023">
              <w:rPr>
                <w:noProof/>
                <w:sz w:val="16"/>
              </w:rPr>
              <w:t>20 01 02 03 (delegácie)</w:t>
            </w:r>
          </w:p>
        </w:tc>
        <w:tc>
          <w:tcPr>
            <w:tcW w:w="731" w:type="dxa"/>
            <w:shd w:val="clear" w:color="auto" w:fill="auto"/>
            <w:vAlign w:val="center"/>
          </w:tcPr>
          <w:p w14:paraId="5A7948F5"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79F0C6DA"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25098FF5"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7AE48018" w14:textId="77777777" w:rsidR="00284093" w:rsidRPr="001E2023" w:rsidRDefault="00284093">
            <w:pPr>
              <w:spacing w:beforeLines="20" w:before="48" w:afterLines="20" w:after="48"/>
              <w:jc w:val="center"/>
              <w:rPr>
                <w:noProof/>
                <w:sz w:val="16"/>
                <w:szCs w:val="16"/>
              </w:rPr>
            </w:pPr>
          </w:p>
        </w:tc>
      </w:tr>
      <w:tr w:rsidR="00284093" w:rsidRPr="001E2023" w14:paraId="4E4EDFF8" w14:textId="77777777" w:rsidTr="00284093">
        <w:trPr>
          <w:gridBefore w:val="1"/>
          <w:wBefore w:w="15" w:type="dxa"/>
          <w:trHeight w:val="289"/>
          <w:jc w:val="center"/>
        </w:trPr>
        <w:tc>
          <w:tcPr>
            <w:tcW w:w="4754" w:type="dxa"/>
            <w:gridSpan w:val="4"/>
            <w:shd w:val="clear" w:color="auto" w:fill="auto"/>
            <w:vAlign w:val="center"/>
          </w:tcPr>
          <w:p w14:paraId="14FDDAF0" w14:textId="77777777" w:rsidR="00284093" w:rsidRPr="001E2023" w:rsidRDefault="00284093">
            <w:pPr>
              <w:pStyle w:val="Text1"/>
              <w:spacing w:beforeLines="20" w:before="48" w:afterLines="20" w:after="48"/>
              <w:ind w:left="134"/>
              <w:jc w:val="left"/>
              <w:rPr>
                <w:noProof/>
                <w:sz w:val="16"/>
                <w:szCs w:val="16"/>
              </w:rPr>
            </w:pPr>
            <w:r w:rsidRPr="001E2023">
              <w:rPr>
                <w:noProof/>
                <w:sz w:val="16"/>
              </w:rPr>
              <w:t>01 01 01 01</w:t>
            </w:r>
            <w:r w:rsidRPr="001E2023">
              <w:rPr>
                <w:rFonts w:ascii="Arial Narrow" w:hAnsi="Arial Narrow"/>
                <w:noProof/>
                <w:color w:val="000000"/>
                <w:sz w:val="20"/>
              </w:rPr>
              <w:t xml:space="preserve"> </w:t>
            </w:r>
            <w:r w:rsidRPr="001E2023">
              <w:rPr>
                <w:noProof/>
                <w:sz w:val="16"/>
              </w:rPr>
              <w:t>(nepriamy výskum)</w:t>
            </w:r>
          </w:p>
        </w:tc>
        <w:tc>
          <w:tcPr>
            <w:tcW w:w="731" w:type="dxa"/>
            <w:shd w:val="clear" w:color="auto" w:fill="auto"/>
            <w:vAlign w:val="center"/>
          </w:tcPr>
          <w:p w14:paraId="69C4E4AE"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185C998"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49392A7"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6C6DE09D" w14:textId="77777777" w:rsidR="00284093" w:rsidRPr="001E2023" w:rsidRDefault="00284093">
            <w:pPr>
              <w:spacing w:beforeLines="20" w:before="48" w:afterLines="20" w:after="48"/>
              <w:jc w:val="center"/>
              <w:rPr>
                <w:noProof/>
                <w:sz w:val="16"/>
                <w:szCs w:val="16"/>
              </w:rPr>
            </w:pPr>
          </w:p>
        </w:tc>
      </w:tr>
      <w:tr w:rsidR="00284093" w:rsidRPr="001E2023" w14:paraId="1BC3202F" w14:textId="77777777" w:rsidTr="00284093">
        <w:trPr>
          <w:gridBefore w:val="1"/>
          <w:wBefore w:w="15" w:type="dxa"/>
          <w:trHeight w:val="289"/>
          <w:jc w:val="center"/>
        </w:trPr>
        <w:tc>
          <w:tcPr>
            <w:tcW w:w="4754" w:type="dxa"/>
            <w:gridSpan w:val="4"/>
            <w:shd w:val="clear" w:color="auto" w:fill="auto"/>
            <w:vAlign w:val="center"/>
          </w:tcPr>
          <w:p w14:paraId="42F30D87" w14:textId="77777777" w:rsidR="00284093" w:rsidRPr="001E2023" w:rsidRDefault="00284093">
            <w:pPr>
              <w:pStyle w:val="Text1"/>
              <w:spacing w:beforeLines="20" w:before="48" w:afterLines="20" w:after="48"/>
              <w:ind w:left="134"/>
              <w:jc w:val="left"/>
              <w:rPr>
                <w:noProof/>
                <w:sz w:val="16"/>
                <w:szCs w:val="16"/>
              </w:rPr>
            </w:pPr>
            <w:r w:rsidRPr="001E2023">
              <w:rPr>
                <w:noProof/>
                <w:sz w:val="16"/>
              </w:rPr>
              <w:t>01 01 01 11 (priamy výskum)</w:t>
            </w:r>
          </w:p>
        </w:tc>
        <w:tc>
          <w:tcPr>
            <w:tcW w:w="731" w:type="dxa"/>
            <w:shd w:val="clear" w:color="auto" w:fill="auto"/>
            <w:vAlign w:val="center"/>
          </w:tcPr>
          <w:p w14:paraId="015AC51F"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248D7E8"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0F8FA81E"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53134CC" w14:textId="77777777" w:rsidR="00284093" w:rsidRPr="001E2023" w:rsidRDefault="00284093">
            <w:pPr>
              <w:spacing w:beforeLines="20" w:before="48" w:afterLines="20" w:after="48"/>
              <w:jc w:val="center"/>
              <w:rPr>
                <w:noProof/>
                <w:sz w:val="16"/>
                <w:szCs w:val="16"/>
              </w:rPr>
            </w:pPr>
          </w:p>
        </w:tc>
      </w:tr>
      <w:tr w:rsidR="00284093" w:rsidRPr="001E2023" w14:paraId="3FEC5493" w14:textId="77777777" w:rsidTr="00284093">
        <w:trPr>
          <w:gridBefore w:val="1"/>
          <w:wBefore w:w="15" w:type="dxa"/>
          <w:trHeight w:val="289"/>
          <w:jc w:val="center"/>
        </w:trPr>
        <w:tc>
          <w:tcPr>
            <w:tcW w:w="4754" w:type="dxa"/>
            <w:gridSpan w:val="4"/>
            <w:shd w:val="clear" w:color="auto" w:fill="auto"/>
            <w:vAlign w:val="center"/>
          </w:tcPr>
          <w:p w14:paraId="27B67165" w14:textId="77777777" w:rsidR="00284093" w:rsidRPr="001E2023" w:rsidRDefault="00284093">
            <w:pPr>
              <w:pStyle w:val="Text1"/>
              <w:spacing w:beforeLines="20" w:before="48" w:afterLines="20" w:after="48"/>
              <w:ind w:left="134"/>
              <w:jc w:val="left"/>
              <w:rPr>
                <w:noProof/>
                <w:sz w:val="16"/>
              </w:rPr>
            </w:pPr>
            <w:r w:rsidRPr="001E2023">
              <w:rPr>
                <w:noProof/>
                <w:sz w:val="16"/>
              </w:rPr>
              <w:t>Iné rozpočtové riadky (uveďte)</w:t>
            </w:r>
          </w:p>
        </w:tc>
        <w:tc>
          <w:tcPr>
            <w:tcW w:w="731" w:type="dxa"/>
            <w:shd w:val="clear" w:color="auto" w:fill="auto"/>
            <w:vAlign w:val="center"/>
          </w:tcPr>
          <w:p w14:paraId="1D29085F"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A32EA15"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E4B075A"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3F65D014" w14:textId="77777777" w:rsidR="00284093" w:rsidRPr="001E2023" w:rsidRDefault="00284093">
            <w:pPr>
              <w:spacing w:beforeLines="20" w:before="48" w:afterLines="20" w:after="48"/>
              <w:jc w:val="center"/>
              <w:rPr>
                <w:noProof/>
                <w:sz w:val="16"/>
                <w:szCs w:val="16"/>
              </w:rPr>
            </w:pPr>
          </w:p>
        </w:tc>
      </w:tr>
      <w:tr w:rsidR="00284093" w:rsidRPr="001E2023" w14:paraId="257B8992" w14:textId="77777777" w:rsidTr="00284093">
        <w:trPr>
          <w:gridAfter w:val="5"/>
          <w:wAfter w:w="4705" w:type="dxa"/>
          <w:trHeight w:val="248"/>
          <w:jc w:val="center"/>
        </w:trPr>
        <w:tc>
          <w:tcPr>
            <w:tcW w:w="2193" w:type="dxa"/>
            <w:gridSpan w:val="2"/>
          </w:tcPr>
          <w:p w14:paraId="687565EA" w14:textId="77777777" w:rsidR="00284093" w:rsidRPr="001E2023" w:rsidRDefault="00284093">
            <w:pPr>
              <w:pStyle w:val="Text1"/>
              <w:spacing w:before="60" w:after="60"/>
              <w:ind w:left="0"/>
              <w:jc w:val="left"/>
              <w:rPr>
                <w:rFonts w:ascii="Wingdings" w:eastAsia="Wingdings" w:hAnsi="Wingdings" w:cs="Wingdings"/>
                <w:b/>
                <w:noProof/>
                <w:sz w:val="16"/>
              </w:rPr>
            </w:pPr>
          </w:p>
        </w:tc>
        <w:tc>
          <w:tcPr>
            <w:tcW w:w="795" w:type="dxa"/>
            <w:gridSpan w:val="2"/>
          </w:tcPr>
          <w:p w14:paraId="7AD3AC07" w14:textId="77777777" w:rsidR="00284093" w:rsidRPr="001E2023" w:rsidRDefault="00284093">
            <w:pPr>
              <w:pStyle w:val="Text1"/>
              <w:spacing w:before="60" w:after="60"/>
              <w:ind w:left="0"/>
              <w:jc w:val="left"/>
              <w:rPr>
                <w:rFonts w:ascii="Wingdings" w:eastAsia="Wingdings" w:hAnsi="Wingdings" w:cs="Wingdings"/>
                <w:b/>
                <w:noProof/>
                <w:sz w:val="16"/>
              </w:rPr>
            </w:pPr>
          </w:p>
        </w:tc>
      </w:tr>
      <w:tr w:rsidR="00284093" w:rsidRPr="001E2023" w14:paraId="3C30C44D" w14:textId="77777777" w:rsidTr="00284093">
        <w:trPr>
          <w:gridBefore w:val="1"/>
          <w:wBefore w:w="15" w:type="dxa"/>
          <w:trHeight w:val="289"/>
          <w:jc w:val="center"/>
        </w:trPr>
        <w:tc>
          <w:tcPr>
            <w:tcW w:w="4754" w:type="dxa"/>
            <w:gridSpan w:val="4"/>
            <w:shd w:val="clear" w:color="auto" w:fill="auto"/>
            <w:vAlign w:val="center"/>
          </w:tcPr>
          <w:p w14:paraId="0F5977CA" w14:textId="77777777" w:rsidR="00284093" w:rsidRPr="001E2023" w:rsidRDefault="00284093">
            <w:pPr>
              <w:pStyle w:val="Text1"/>
              <w:spacing w:beforeLines="20" w:before="48" w:afterLines="20" w:after="48"/>
              <w:ind w:left="136"/>
              <w:jc w:val="left"/>
              <w:rPr>
                <w:b/>
                <w:noProof/>
                <w:sz w:val="16"/>
                <w:szCs w:val="16"/>
              </w:rPr>
            </w:pPr>
            <w:r w:rsidRPr="001E2023">
              <w:rPr>
                <w:noProof/>
                <w:sz w:val="16"/>
              </w:rPr>
              <w:t>20 02 01</w:t>
            </w:r>
            <w:r w:rsidRPr="001E2023">
              <w:rPr>
                <w:rFonts w:ascii="Arial Narrow" w:hAnsi="Arial Narrow"/>
                <w:noProof/>
                <w:color w:val="000000"/>
                <w:sz w:val="20"/>
              </w:rPr>
              <w:t xml:space="preserve"> </w:t>
            </w:r>
            <w:r w:rsidRPr="001E2023">
              <w:rPr>
                <w:noProof/>
                <w:sz w:val="16"/>
              </w:rPr>
              <w:t>(ZZ, VNE, DAZ</w:t>
            </w:r>
            <w:r w:rsidR="001E2023">
              <w:rPr>
                <w:noProof/>
                <w:sz w:val="16"/>
              </w:rPr>
              <w:t xml:space="preserve"> z </w:t>
            </w:r>
            <w:r w:rsidRPr="001E2023">
              <w:rPr>
                <w:noProof/>
                <w:sz w:val="16"/>
              </w:rPr>
              <w:t>celkového finančného krytia)</w:t>
            </w:r>
          </w:p>
        </w:tc>
        <w:tc>
          <w:tcPr>
            <w:tcW w:w="731" w:type="dxa"/>
            <w:shd w:val="clear" w:color="auto" w:fill="auto"/>
            <w:vAlign w:val="center"/>
          </w:tcPr>
          <w:p w14:paraId="76553A60"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3EAD6558"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D15AD2C"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63A14068" w14:textId="77777777" w:rsidR="00284093" w:rsidRPr="001E2023" w:rsidRDefault="00284093">
            <w:pPr>
              <w:spacing w:beforeLines="20" w:before="48" w:afterLines="20" w:after="48"/>
              <w:jc w:val="center"/>
              <w:rPr>
                <w:noProof/>
                <w:sz w:val="16"/>
                <w:szCs w:val="16"/>
              </w:rPr>
            </w:pPr>
          </w:p>
        </w:tc>
      </w:tr>
      <w:tr w:rsidR="00284093" w:rsidRPr="001E2023" w14:paraId="3F3F8967" w14:textId="77777777" w:rsidTr="00284093">
        <w:trPr>
          <w:gridBefore w:val="1"/>
          <w:wBefore w:w="15" w:type="dxa"/>
          <w:trHeight w:val="289"/>
          <w:jc w:val="center"/>
        </w:trPr>
        <w:tc>
          <w:tcPr>
            <w:tcW w:w="4754" w:type="dxa"/>
            <w:gridSpan w:val="4"/>
            <w:shd w:val="clear" w:color="auto" w:fill="auto"/>
            <w:vAlign w:val="center"/>
          </w:tcPr>
          <w:p w14:paraId="35E794BE" w14:textId="77777777" w:rsidR="00284093" w:rsidRPr="001E2023" w:rsidRDefault="00284093">
            <w:pPr>
              <w:pStyle w:val="Text1"/>
              <w:spacing w:beforeLines="20" w:before="48" w:afterLines="20" w:after="48"/>
              <w:ind w:left="136"/>
              <w:jc w:val="left"/>
              <w:rPr>
                <w:noProof/>
                <w:sz w:val="16"/>
              </w:rPr>
            </w:pPr>
            <w:r w:rsidRPr="001E2023">
              <w:rPr>
                <w:noProof/>
                <w:sz w:val="16"/>
              </w:rPr>
              <w:t>20 02 03 (ZZ, MZ, VNE, DAZ, PED</w:t>
            </w:r>
            <w:r w:rsidR="001E2023">
              <w:rPr>
                <w:noProof/>
                <w:sz w:val="16"/>
              </w:rPr>
              <w:t xml:space="preserve"> v </w:t>
            </w:r>
            <w:r w:rsidRPr="001E2023">
              <w:rPr>
                <w:noProof/>
                <w:sz w:val="16"/>
              </w:rPr>
              <w:t>delegáciách)</w:t>
            </w:r>
          </w:p>
        </w:tc>
        <w:tc>
          <w:tcPr>
            <w:tcW w:w="731" w:type="dxa"/>
            <w:shd w:val="clear" w:color="auto" w:fill="auto"/>
            <w:vAlign w:val="center"/>
          </w:tcPr>
          <w:p w14:paraId="1041FD8A"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EA859AB"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2B84DA5A"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22B97162" w14:textId="77777777" w:rsidR="00284093" w:rsidRPr="001E2023" w:rsidRDefault="00284093">
            <w:pPr>
              <w:spacing w:beforeLines="20" w:before="48" w:afterLines="20" w:after="48"/>
              <w:jc w:val="center"/>
              <w:rPr>
                <w:noProof/>
                <w:sz w:val="16"/>
                <w:szCs w:val="16"/>
              </w:rPr>
            </w:pPr>
          </w:p>
        </w:tc>
      </w:tr>
      <w:tr w:rsidR="00284093" w:rsidRPr="001E2023" w14:paraId="7E1ECD29" w14:textId="77777777" w:rsidTr="00284093">
        <w:trPr>
          <w:gridBefore w:val="1"/>
          <w:wBefore w:w="15" w:type="dxa"/>
          <w:trHeight w:val="289"/>
          <w:jc w:val="center"/>
        </w:trPr>
        <w:tc>
          <w:tcPr>
            <w:tcW w:w="2376" w:type="dxa"/>
            <w:gridSpan w:val="2"/>
            <w:vMerge w:val="restart"/>
            <w:shd w:val="clear" w:color="auto" w:fill="auto"/>
            <w:vAlign w:val="center"/>
          </w:tcPr>
          <w:p w14:paraId="0387153B" w14:textId="77777777" w:rsidR="00284093" w:rsidRPr="001E2023" w:rsidRDefault="00284093">
            <w:pPr>
              <w:pStyle w:val="Text1"/>
              <w:spacing w:beforeLines="20" w:before="48" w:afterLines="20" w:after="48"/>
              <w:ind w:left="136"/>
              <w:jc w:val="left"/>
              <w:rPr>
                <w:b/>
                <w:noProof/>
                <w:sz w:val="16"/>
                <w:szCs w:val="16"/>
              </w:rPr>
            </w:pPr>
            <w:r w:rsidRPr="001E2023">
              <w:rPr>
                <w:b/>
                <w:noProof/>
                <w:sz w:val="16"/>
              </w:rPr>
              <w:t>XX</w:t>
            </w:r>
            <w:r w:rsidRPr="001E2023">
              <w:rPr>
                <w:noProof/>
                <w:sz w:val="16"/>
              </w:rPr>
              <w:t xml:space="preserve"> 01 xx </w:t>
            </w:r>
            <w:r w:rsidRPr="001E2023">
              <w:rPr>
                <w:b/>
                <w:noProof/>
                <w:sz w:val="16"/>
              </w:rPr>
              <w:t xml:space="preserve">yy zz </w:t>
            </w:r>
            <w:r w:rsidRPr="001E2023">
              <w:rPr>
                <w:rStyle w:val="Odkaznapoznmkupodiarou"/>
                <w:b/>
                <w:bCs/>
                <w:iCs/>
                <w:noProof/>
                <w:sz w:val="16"/>
                <w:szCs w:val="16"/>
              </w:rPr>
              <w:footnoteReference w:id="29"/>
            </w:r>
          </w:p>
          <w:p w14:paraId="70461F9E" w14:textId="77777777" w:rsidR="00284093" w:rsidRPr="001E2023" w:rsidRDefault="00284093">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4D37F086" w14:textId="77777777" w:rsidR="00284093" w:rsidRPr="001E2023" w:rsidRDefault="00284093">
            <w:pPr>
              <w:pStyle w:val="Text1"/>
              <w:spacing w:beforeLines="20" w:before="48" w:afterLines="20" w:after="48"/>
              <w:ind w:left="136"/>
              <w:jc w:val="left"/>
              <w:rPr>
                <w:b/>
                <w:noProof/>
                <w:sz w:val="16"/>
                <w:szCs w:val="16"/>
              </w:rPr>
            </w:pPr>
            <w:r w:rsidRPr="001E2023">
              <w:rPr>
                <w:noProof/>
                <w:sz w:val="16"/>
              </w:rPr>
              <w:t>– ústredie</w:t>
            </w:r>
          </w:p>
          <w:p w14:paraId="761335E5" w14:textId="77777777" w:rsidR="00284093" w:rsidRPr="001E2023" w:rsidRDefault="00284093">
            <w:pPr>
              <w:pStyle w:val="Text1"/>
              <w:spacing w:beforeLines="20" w:before="48" w:afterLines="20" w:after="48"/>
              <w:ind w:left="136"/>
              <w:jc w:val="left"/>
              <w:rPr>
                <w:b/>
                <w:noProof/>
                <w:sz w:val="16"/>
                <w:szCs w:val="16"/>
              </w:rPr>
            </w:pPr>
          </w:p>
        </w:tc>
        <w:tc>
          <w:tcPr>
            <w:tcW w:w="731" w:type="dxa"/>
            <w:shd w:val="clear" w:color="auto" w:fill="auto"/>
            <w:vAlign w:val="center"/>
          </w:tcPr>
          <w:p w14:paraId="5A077DA3" w14:textId="77777777" w:rsidR="00284093" w:rsidRPr="001E2023" w:rsidRDefault="00284093">
            <w:pPr>
              <w:pStyle w:val="Text1"/>
              <w:spacing w:beforeLines="20" w:before="48" w:afterLines="20" w:after="48"/>
              <w:ind w:left="0"/>
              <w:rPr>
                <w:noProof/>
                <w:sz w:val="16"/>
                <w:szCs w:val="16"/>
              </w:rPr>
            </w:pPr>
          </w:p>
        </w:tc>
        <w:tc>
          <w:tcPr>
            <w:tcW w:w="731" w:type="dxa"/>
            <w:shd w:val="clear" w:color="auto" w:fill="auto"/>
            <w:vAlign w:val="center"/>
          </w:tcPr>
          <w:p w14:paraId="6C6BC255"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7D0B3B33"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32EB0B57" w14:textId="77777777" w:rsidR="00284093" w:rsidRPr="001E2023" w:rsidRDefault="00284093">
            <w:pPr>
              <w:spacing w:beforeLines="20" w:before="48" w:afterLines="20" w:after="48"/>
              <w:jc w:val="center"/>
              <w:rPr>
                <w:noProof/>
                <w:sz w:val="16"/>
                <w:szCs w:val="16"/>
              </w:rPr>
            </w:pPr>
          </w:p>
        </w:tc>
      </w:tr>
      <w:tr w:rsidR="00284093" w:rsidRPr="001E2023" w14:paraId="3C32E0C9" w14:textId="77777777" w:rsidTr="00284093">
        <w:trPr>
          <w:gridBefore w:val="1"/>
          <w:wBefore w:w="15" w:type="dxa"/>
          <w:trHeight w:val="289"/>
          <w:jc w:val="center"/>
        </w:trPr>
        <w:tc>
          <w:tcPr>
            <w:tcW w:w="2376" w:type="dxa"/>
            <w:gridSpan w:val="2"/>
            <w:vMerge/>
            <w:vAlign w:val="center"/>
          </w:tcPr>
          <w:p w14:paraId="7EB1A5D0" w14:textId="77777777" w:rsidR="00284093" w:rsidRPr="001E2023" w:rsidRDefault="00284093">
            <w:pPr>
              <w:pStyle w:val="Text1"/>
              <w:spacing w:beforeLines="20" w:before="48" w:afterLines="20" w:after="48"/>
              <w:ind w:left="136"/>
              <w:jc w:val="left"/>
              <w:rPr>
                <w:b/>
                <w:noProof/>
                <w:sz w:val="16"/>
                <w:szCs w:val="16"/>
              </w:rPr>
            </w:pPr>
          </w:p>
        </w:tc>
        <w:tc>
          <w:tcPr>
            <w:tcW w:w="2378" w:type="dxa"/>
            <w:gridSpan w:val="2"/>
            <w:shd w:val="clear" w:color="auto" w:fill="auto"/>
            <w:vAlign w:val="center"/>
          </w:tcPr>
          <w:p w14:paraId="00330996" w14:textId="77777777" w:rsidR="00284093" w:rsidRPr="001E2023" w:rsidRDefault="00284093">
            <w:pPr>
              <w:pStyle w:val="Text1"/>
              <w:spacing w:beforeLines="20" w:before="48" w:afterLines="20" w:after="48"/>
              <w:ind w:left="136"/>
              <w:jc w:val="left"/>
              <w:rPr>
                <w:b/>
                <w:noProof/>
                <w:sz w:val="16"/>
                <w:szCs w:val="16"/>
              </w:rPr>
            </w:pPr>
            <w:r w:rsidRPr="001E2023">
              <w:rPr>
                <w:noProof/>
                <w:sz w:val="16"/>
              </w:rPr>
              <w:t>–</w:t>
            </w:r>
            <w:r w:rsidR="001E2023">
              <w:rPr>
                <w:noProof/>
                <w:sz w:val="16"/>
              </w:rPr>
              <w:t xml:space="preserve"> v </w:t>
            </w:r>
            <w:r w:rsidRPr="001E2023">
              <w:rPr>
                <w:noProof/>
                <w:sz w:val="16"/>
              </w:rPr>
              <w:t xml:space="preserve">delegáciách </w:t>
            </w:r>
          </w:p>
        </w:tc>
        <w:tc>
          <w:tcPr>
            <w:tcW w:w="731" w:type="dxa"/>
            <w:shd w:val="clear" w:color="auto" w:fill="auto"/>
            <w:vAlign w:val="center"/>
          </w:tcPr>
          <w:p w14:paraId="41037E0F" w14:textId="77777777" w:rsidR="00284093" w:rsidRPr="001E2023" w:rsidRDefault="00284093">
            <w:pPr>
              <w:pStyle w:val="Text1"/>
              <w:spacing w:beforeLines="20" w:before="48" w:afterLines="20" w:after="48"/>
              <w:ind w:left="0"/>
              <w:rPr>
                <w:noProof/>
                <w:sz w:val="16"/>
                <w:szCs w:val="16"/>
              </w:rPr>
            </w:pPr>
          </w:p>
        </w:tc>
        <w:tc>
          <w:tcPr>
            <w:tcW w:w="731" w:type="dxa"/>
            <w:shd w:val="clear" w:color="auto" w:fill="auto"/>
            <w:vAlign w:val="center"/>
          </w:tcPr>
          <w:p w14:paraId="3E07D2A1"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D282FCC"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9BE7FA0" w14:textId="77777777" w:rsidR="00284093" w:rsidRPr="001E2023" w:rsidRDefault="00284093">
            <w:pPr>
              <w:spacing w:beforeLines="20" w:before="48" w:afterLines="20" w:after="48"/>
              <w:jc w:val="center"/>
              <w:rPr>
                <w:noProof/>
                <w:sz w:val="16"/>
                <w:szCs w:val="16"/>
              </w:rPr>
            </w:pPr>
          </w:p>
        </w:tc>
      </w:tr>
      <w:tr w:rsidR="00284093" w:rsidRPr="001E2023" w14:paraId="47CAA8A6" w14:textId="77777777" w:rsidTr="00284093">
        <w:trPr>
          <w:gridBefore w:val="1"/>
          <w:wBefore w:w="15" w:type="dxa"/>
          <w:trHeight w:val="289"/>
          <w:jc w:val="center"/>
        </w:trPr>
        <w:tc>
          <w:tcPr>
            <w:tcW w:w="4754" w:type="dxa"/>
            <w:gridSpan w:val="4"/>
            <w:shd w:val="clear" w:color="auto" w:fill="auto"/>
            <w:vAlign w:val="center"/>
          </w:tcPr>
          <w:p w14:paraId="06E659B0" w14:textId="77777777" w:rsidR="00284093" w:rsidRPr="001E2023" w:rsidRDefault="00284093">
            <w:pPr>
              <w:pStyle w:val="Text1"/>
              <w:spacing w:beforeLines="20" w:before="48" w:afterLines="20" w:after="48"/>
              <w:ind w:left="136"/>
              <w:jc w:val="left"/>
              <w:rPr>
                <w:noProof/>
                <w:sz w:val="16"/>
                <w:szCs w:val="16"/>
              </w:rPr>
            </w:pPr>
            <w:r w:rsidRPr="001E2023">
              <w:rPr>
                <w:noProof/>
                <w:sz w:val="16"/>
              </w:rPr>
              <w:t>01 01 01 02</w:t>
            </w:r>
            <w:r w:rsidRPr="001E2023">
              <w:rPr>
                <w:rFonts w:ascii="Arial Narrow" w:hAnsi="Arial Narrow"/>
                <w:noProof/>
                <w:color w:val="000000"/>
                <w:sz w:val="20"/>
              </w:rPr>
              <w:t xml:space="preserve"> </w:t>
            </w:r>
            <w:r w:rsidRPr="001E2023">
              <w:rPr>
                <w:noProof/>
                <w:sz w:val="16"/>
              </w:rPr>
              <w:t>(ZZ, DAZ, VNE – nepriamy výskum)</w:t>
            </w:r>
          </w:p>
        </w:tc>
        <w:tc>
          <w:tcPr>
            <w:tcW w:w="731" w:type="dxa"/>
            <w:shd w:val="clear" w:color="auto" w:fill="auto"/>
            <w:vAlign w:val="center"/>
          </w:tcPr>
          <w:p w14:paraId="4E0B602C"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25754A68"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1FB44A21"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628C9F5D" w14:textId="77777777" w:rsidR="00284093" w:rsidRPr="001E2023" w:rsidRDefault="00284093">
            <w:pPr>
              <w:spacing w:beforeLines="20" w:before="48" w:afterLines="20" w:after="48"/>
              <w:jc w:val="center"/>
              <w:rPr>
                <w:noProof/>
                <w:sz w:val="16"/>
                <w:szCs w:val="16"/>
              </w:rPr>
            </w:pPr>
          </w:p>
        </w:tc>
      </w:tr>
      <w:tr w:rsidR="00284093" w:rsidRPr="001E2023" w14:paraId="204D7DA4" w14:textId="77777777" w:rsidTr="00284093">
        <w:trPr>
          <w:gridBefore w:val="1"/>
          <w:wBefore w:w="15" w:type="dxa"/>
          <w:trHeight w:val="289"/>
          <w:jc w:val="center"/>
        </w:trPr>
        <w:tc>
          <w:tcPr>
            <w:tcW w:w="4754" w:type="dxa"/>
            <w:gridSpan w:val="4"/>
            <w:shd w:val="clear" w:color="auto" w:fill="auto"/>
            <w:vAlign w:val="center"/>
          </w:tcPr>
          <w:p w14:paraId="44B4B76E" w14:textId="77777777" w:rsidR="00284093" w:rsidRPr="001E2023" w:rsidRDefault="00284093">
            <w:pPr>
              <w:pStyle w:val="Text1"/>
              <w:spacing w:beforeLines="20" w:before="48" w:afterLines="20" w:after="48"/>
              <w:ind w:left="136"/>
              <w:jc w:val="left"/>
              <w:rPr>
                <w:noProof/>
                <w:color w:val="FF0000"/>
                <w:sz w:val="16"/>
                <w:szCs w:val="16"/>
              </w:rPr>
            </w:pPr>
            <w:r w:rsidRPr="001E2023">
              <w:rPr>
                <w:noProof/>
                <w:sz w:val="16"/>
              </w:rPr>
              <w:t>01 01 01 12 (ZZ, DAZ, VNE – priamy výskum)</w:t>
            </w:r>
          </w:p>
        </w:tc>
        <w:tc>
          <w:tcPr>
            <w:tcW w:w="731" w:type="dxa"/>
            <w:shd w:val="clear" w:color="auto" w:fill="auto"/>
            <w:vAlign w:val="center"/>
          </w:tcPr>
          <w:p w14:paraId="63EDC99B"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345C2690"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4E402154"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0D4B6424" w14:textId="77777777" w:rsidR="00284093" w:rsidRPr="001E2023" w:rsidRDefault="00284093">
            <w:pPr>
              <w:spacing w:beforeLines="20" w:before="48" w:afterLines="20" w:after="48"/>
              <w:jc w:val="center"/>
              <w:rPr>
                <w:noProof/>
                <w:sz w:val="16"/>
                <w:szCs w:val="16"/>
              </w:rPr>
            </w:pPr>
          </w:p>
        </w:tc>
      </w:tr>
      <w:tr w:rsidR="00284093" w:rsidRPr="001E2023" w14:paraId="67D72554" w14:textId="77777777" w:rsidTr="00284093">
        <w:trPr>
          <w:gridBefore w:val="1"/>
          <w:wBefore w:w="15" w:type="dxa"/>
          <w:trHeight w:val="289"/>
          <w:jc w:val="center"/>
        </w:trPr>
        <w:tc>
          <w:tcPr>
            <w:tcW w:w="4754" w:type="dxa"/>
            <w:gridSpan w:val="4"/>
            <w:shd w:val="clear" w:color="auto" w:fill="auto"/>
            <w:vAlign w:val="center"/>
          </w:tcPr>
          <w:p w14:paraId="57D9B7C5" w14:textId="77777777" w:rsidR="00284093" w:rsidRPr="001E2023" w:rsidRDefault="00284093">
            <w:pPr>
              <w:pStyle w:val="Text1"/>
              <w:spacing w:beforeLines="20" w:before="48" w:afterLines="20" w:after="48"/>
              <w:ind w:left="136"/>
              <w:jc w:val="left"/>
              <w:rPr>
                <w:noProof/>
                <w:sz w:val="16"/>
              </w:rPr>
            </w:pPr>
            <w:r w:rsidRPr="001E2023">
              <w:rPr>
                <w:noProof/>
                <w:sz w:val="16"/>
              </w:rPr>
              <w:t>Iné rozpočtové riadky (uveďte)</w:t>
            </w:r>
          </w:p>
        </w:tc>
        <w:tc>
          <w:tcPr>
            <w:tcW w:w="731" w:type="dxa"/>
            <w:shd w:val="clear" w:color="auto" w:fill="auto"/>
            <w:vAlign w:val="center"/>
          </w:tcPr>
          <w:p w14:paraId="566BED70"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0580B89C"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3636E0C2" w14:textId="77777777" w:rsidR="00284093" w:rsidRPr="001E2023" w:rsidRDefault="00284093">
            <w:pPr>
              <w:spacing w:beforeLines="20" w:before="48" w:afterLines="20" w:after="48"/>
              <w:jc w:val="center"/>
              <w:rPr>
                <w:noProof/>
                <w:sz w:val="16"/>
                <w:szCs w:val="16"/>
              </w:rPr>
            </w:pPr>
          </w:p>
        </w:tc>
        <w:tc>
          <w:tcPr>
            <w:tcW w:w="731" w:type="dxa"/>
            <w:shd w:val="clear" w:color="auto" w:fill="auto"/>
            <w:vAlign w:val="center"/>
          </w:tcPr>
          <w:p w14:paraId="72595322" w14:textId="77777777" w:rsidR="00284093" w:rsidRPr="001E2023" w:rsidRDefault="00284093">
            <w:pPr>
              <w:spacing w:beforeLines="20" w:before="48" w:afterLines="20" w:after="48"/>
              <w:jc w:val="center"/>
              <w:rPr>
                <w:noProof/>
                <w:sz w:val="16"/>
                <w:szCs w:val="16"/>
              </w:rPr>
            </w:pPr>
          </w:p>
        </w:tc>
      </w:tr>
      <w:tr w:rsidR="00284093" w:rsidRPr="001E2023" w14:paraId="624EE9C6" w14:textId="77777777" w:rsidTr="00284093">
        <w:trPr>
          <w:gridBefore w:val="1"/>
          <w:wBefore w:w="15" w:type="dxa"/>
          <w:trHeight w:val="289"/>
          <w:jc w:val="center"/>
        </w:trPr>
        <w:tc>
          <w:tcPr>
            <w:tcW w:w="4754" w:type="dxa"/>
            <w:gridSpan w:val="4"/>
            <w:tcBorders>
              <w:top w:val="double" w:sz="4" w:space="0" w:color="auto"/>
            </w:tcBorders>
            <w:shd w:val="clear" w:color="auto" w:fill="auto"/>
            <w:vAlign w:val="center"/>
          </w:tcPr>
          <w:p w14:paraId="43BFE999" w14:textId="77777777" w:rsidR="00284093" w:rsidRPr="001E2023" w:rsidRDefault="00284093">
            <w:pPr>
              <w:pStyle w:val="Text1"/>
              <w:spacing w:beforeLines="20" w:before="48" w:afterLines="20" w:after="48"/>
              <w:ind w:left="136"/>
              <w:jc w:val="left"/>
              <w:rPr>
                <w:noProof/>
                <w:sz w:val="16"/>
                <w:szCs w:val="16"/>
              </w:rPr>
            </w:pPr>
            <w:r w:rsidRPr="001E2023">
              <w:rPr>
                <w:b/>
                <w:noProof/>
                <w:sz w:val="16"/>
              </w:rPr>
              <w:t>SPOLU</w:t>
            </w:r>
          </w:p>
        </w:tc>
        <w:tc>
          <w:tcPr>
            <w:tcW w:w="731" w:type="dxa"/>
            <w:tcBorders>
              <w:top w:val="double" w:sz="4" w:space="0" w:color="auto"/>
            </w:tcBorders>
            <w:shd w:val="clear" w:color="auto" w:fill="auto"/>
            <w:vAlign w:val="center"/>
          </w:tcPr>
          <w:p w14:paraId="34716381" w14:textId="77777777" w:rsidR="00284093" w:rsidRPr="001E2023" w:rsidRDefault="00284093">
            <w:pPr>
              <w:spacing w:beforeLines="20" w:before="48" w:afterLines="20" w:after="48"/>
              <w:jc w:val="center"/>
              <w:rPr>
                <w:b/>
                <w:noProof/>
                <w:sz w:val="16"/>
                <w:szCs w:val="16"/>
              </w:rPr>
            </w:pPr>
            <w:r w:rsidRPr="001E2023">
              <w:rPr>
                <w:b/>
                <w:noProof/>
                <w:sz w:val="16"/>
              </w:rPr>
              <w:t>4</w:t>
            </w:r>
          </w:p>
        </w:tc>
        <w:tc>
          <w:tcPr>
            <w:tcW w:w="731" w:type="dxa"/>
            <w:tcBorders>
              <w:top w:val="double" w:sz="4" w:space="0" w:color="auto"/>
            </w:tcBorders>
            <w:shd w:val="clear" w:color="auto" w:fill="auto"/>
            <w:vAlign w:val="center"/>
          </w:tcPr>
          <w:p w14:paraId="7D032C4B" w14:textId="77777777" w:rsidR="00284093" w:rsidRPr="001E2023" w:rsidRDefault="00284093">
            <w:pPr>
              <w:spacing w:beforeLines="20" w:before="48" w:afterLines="20" w:after="48"/>
              <w:jc w:val="center"/>
              <w:rPr>
                <w:b/>
                <w:noProof/>
                <w:sz w:val="16"/>
                <w:szCs w:val="16"/>
              </w:rPr>
            </w:pPr>
            <w:r w:rsidRPr="001E2023">
              <w:rPr>
                <w:b/>
                <w:noProof/>
                <w:sz w:val="16"/>
              </w:rPr>
              <w:t>4</w:t>
            </w:r>
          </w:p>
        </w:tc>
        <w:tc>
          <w:tcPr>
            <w:tcW w:w="731" w:type="dxa"/>
            <w:tcBorders>
              <w:top w:val="double" w:sz="4" w:space="0" w:color="auto"/>
            </w:tcBorders>
            <w:shd w:val="clear" w:color="auto" w:fill="auto"/>
            <w:vAlign w:val="center"/>
          </w:tcPr>
          <w:p w14:paraId="7DC730AE" w14:textId="77777777" w:rsidR="00284093" w:rsidRPr="001E2023" w:rsidRDefault="00284093">
            <w:pPr>
              <w:spacing w:beforeLines="20" w:before="48" w:afterLines="20" w:after="48"/>
              <w:jc w:val="center"/>
              <w:rPr>
                <w:b/>
                <w:noProof/>
                <w:sz w:val="16"/>
                <w:szCs w:val="16"/>
              </w:rPr>
            </w:pPr>
            <w:r w:rsidRPr="001E2023">
              <w:rPr>
                <w:b/>
                <w:noProof/>
                <w:sz w:val="16"/>
              </w:rPr>
              <w:t>3</w:t>
            </w:r>
          </w:p>
        </w:tc>
        <w:tc>
          <w:tcPr>
            <w:tcW w:w="731" w:type="dxa"/>
            <w:tcBorders>
              <w:top w:val="double" w:sz="4" w:space="0" w:color="auto"/>
            </w:tcBorders>
            <w:shd w:val="clear" w:color="auto" w:fill="auto"/>
            <w:vAlign w:val="center"/>
          </w:tcPr>
          <w:p w14:paraId="5DA371BB" w14:textId="77777777" w:rsidR="00284093" w:rsidRPr="001E2023" w:rsidRDefault="00284093">
            <w:pPr>
              <w:spacing w:beforeLines="20" w:before="48" w:afterLines="20" w:after="48"/>
              <w:jc w:val="center"/>
              <w:rPr>
                <w:b/>
                <w:noProof/>
                <w:sz w:val="16"/>
                <w:szCs w:val="16"/>
              </w:rPr>
            </w:pPr>
            <w:r w:rsidRPr="001E2023">
              <w:rPr>
                <w:b/>
                <w:noProof/>
                <w:sz w:val="16"/>
              </w:rPr>
              <w:t>3</w:t>
            </w:r>
          </w:p>
        </w:tc>
      </w:tr>
    </w:tbl>
    <w:p w14:paraId="086B3EC7" w14:textId="77777777" w:rsidR="00EF7953" w:rsidRPr="001E2023" w:rsidRDefault="00EF7953" w:rsidP="00015138">
      <w:pPr>
        <w:pStyle w:val="Text1"/>
        <w:spacing w:before="60" w:after="60"/>
        <w:rPr>
          <w:noProof/>
          <w:sz w:val="18"/>
          <w:szCs w:val="18"/>
        </w:rPr>
      </w:pPr>
      <w:r w:rsidRPr="001E2023">
        <w:rPr>
          <w:b/>
          <w:noProof/>
          <w:sz w:val="18"/>
        </w:rPr>
        <w:t>XX</w:t>
      </w:r>
      <w:r w:rsidRPr="001E2023">
        <w:rPr>
          <w:noProof/>
          <w:sz w:val="18"/>
        </w:rPr>
        <w:t xml:space="preserve"> predstavuje príslušnú oblasť politiky alebo rozpočtovú hlavu.</w:t>
      </w:r>
    </w:p>
    <w:p w14:paraId="155416B6" w14:textId="77777777" w:rsidR="00EF7953" w:rsidRPr="001E2023" w:rsidRDefault="00EF7953">
      <w:pPr>
        <w:pStyle w:val="Text1"/>
        <w:rPr>
          <w:noProof/>
          <w:sz w:val="18"/>
          <w:szCs w:val="18"/>
        </w:rPr>
      </w:pPr>
      <w:r w:rsidRPr="001E2023">
        <w:rPr>
          <w:noProof/>
          <w:sz w:val="18"/>
        </w:rPr>
        <w:t>Potreby ľudských zdrojov budú pokryté úradníkmi GR, ktorí už boli pridelení na riadenie akcie a/alebo boli prerozdelení</w:t>
      </w:r>
      <w:r w:rsidR="001E2023">
        <w:rPr>
          <w:noProof/>
          <w:sz w:val="18"/>
        </w:rPr>
        <w:t xml:space="preserve"> v </w:t>
      </w:r>
      <w:r w:rsidRPr="001E2023">
        <w:rPr>
          <w:noProof/>
          <w:sz w:val="18"/>
        </w:rPr>
        <w:t>rámci GR,</w:t>
      </w:r>
      <w:r w:rsidR="001E2023">
        <w:rPr>
          <w:noProof/>
          <w:sz w:val="18"/>
        </w:rPr>
        <w:t xml:space="preserve"> a v </w:t>
      </w:r>
      <w:r w:rsidRPr="001E2023">
        <w:rPr>
          <w:noProof/>
          <w:sz w:val="18"/>
        </w:rPr>
        <w:t>prípade potreby budú doplnené zdrojmi, ktoré sa môžu prideliť riadiacemu GR</w:t>
      </w:r>
      <w:r w:rsidR="001E2023">
        <w:rPr>
          <w:noProof/>
          <w:sz w:val="18"/>
        </w:rPr>
        <w:t xml:space="preserve"> v </w:t>
      </w:r>
      <w:r w:rsidRPr="001E2023">
        <w:rPr>
          <w:noProof/>
          <w:sz w:val="18"/>
        </w:rPr>
        <w:t>rámci ročného postupu prideľovania zdrojov</w:t>
      </w:r>
      <w:r w:rsidR="001E2023">
        <w:rPr>
          <w:noProof/>
          <w:sz w:val="18"/>
        </w:rPr>
        <w:t xml:space="preserve"> a v </w:t>
      </w:r>
      <w:r w:rsidRPr="001E2023">
        <w:rPr>
          <w:noProof/>
          <w:sz w:val="18"/>
        </w:rPr>
        <w:t>závislosti od rozpočtových obmedzení.</w:t>
      </w:r>
    </w:p>
    <w:p w14:paraId="55F8035B" w14:textId="77777777" w:rsidR="00EF7953" w:rsidRPr="001E2023" w:rsidRDefault="00EF7953">
      <w:pPr>
        <w:rPr>
          <w:noProof/>
          <w:sz w:val="20"/>
        </w:rPr>
      </w:pPr>
      <w:r w:rsidRPr="001E2023">
        <w:rPr>
          <w:noProof/>
          <w:sz w:val="20"/>
        </w:rPr>
        <w:t>Opis úloh, ktoré sa majú vykonať: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F7953" w:rsidRPr="001E2023" w14:paraId="47E78E57" w14:textId="77777777">
        <w:tc>
          <w:tcPr>
            <w:tcW w:w="3240" w:type="dxa"/>
          </w:tcPr>
          <w:p w14:paraId="26A59F97" w14:textId="77777777" w:rsidR="00EF7953" w:rsidRPr="001E2023" w:rsidRDefault="00EF7953">
            <w:pPr>
              <w:rPr>
                <w:noProof/>
                <w:sz w:val="20"/>
              </w:rPr>
            </w:pPr>
            <w:r w:rsidRPr="001E2023">
              <w:rPr>
                <w:noProof/>
                <w:sz w:val="20"/>
              </w:rPr>
              <w:t>Úradníci</w:t>
            </w:r>
            <w:r w:rsidR="001E2023">
              <w:rPr>
                <w:noProof/>
                <w:sz w:val="20"/>
              </w:rPr>
              <w:t xml:space="preserve"> a </w:t>
            </w:r>
            <w:r w:rsidRPr="001E2023">
              <w:rPr>
                <w:noProof/>
                <w:sz w:val="20"/>
              </w:rPr>
              <w:t>dočasní zamestnanci</w:t>
            </w:r>
          </w:p>
        </w:tc>
        <w:tc>
          <w:tcPr>
            <w:tcW w:w="7200" w:type="dxa"/>
          </w:tcPr>
          <w:p w14:paraId="3AE81C0D" w14:textId="77777777" w:rsidR="00EF7953" w:rsidRPr="001E2023" w:rsidRDefault="00562DA7">
            <w:pPr>
              <w:rPr>
                <w:noProof/>
                <w:sz w:val="20"/>
              </w:rPr>
            </w:pPr>
            <w:r w:rsidRPr="001E2023">
              <w:rPr>
                <w:noProof/>
                <w:sz w:val="20"/>
              </w:rPr>
              <w:t>Traja ďalší zamestnanci</w:t>
            </w:r>
            <w:r w:rsidR="001E2023">
              <w:rPr>
                <w:noProof/>
                <w:sz w:val="20"/>
              </w:rPr>
              <w:t xml:space="preserve"> v </w:t>
            </w:r>
            <w:r w:rsidRPr="001E2023">
              <w:rPr>
                <w:noProof/>
                <w:sz w:val="20"/>
              </w:rPr>
              <w:t>skupine AD potrební na prípravu stretnutí</w:t>
            </w:r>
            <w:r w:rsidR="001E2023">
              <w:rPr>
                <w:noProof/>
                <w:sz w:val="20"/>
              </w:rPr>
              <w:t xml:space="preserve"> a </w:t>
            </w:r>
            <w:r w:rsidRPr="001E2023">
              <w:rPr>
                <w:noProof/>
                <w:sz w:val="20"/>
              </w:rPr>
              <w:t>korešpondenciu</w:t>
            </w:r>
            <w:r w:rsidR="001E2023">
              <w:rPr>
                <w:noProof/>
                <w:sz w:val="20"/>
              </w:rPr>
              <w:t xml:space="preserve"> s </w:t>
            </w:r>
            <w:r w:rsidRPr="001E2023">
              <w:rPr>
                <w:noProof/>
                <w:sz w:val="20"/>
              </w:rPr>
              <w:t>členskými štátmi, prácu na vykonávacom nariadení, formátoch IT.</w:t>
            </w:r>
          </w:p>
          <w:p w14:paraId="75890166" w14:textId="77777777" w:rsidR="001E2023" w:rsidRPr="00DE5E39" w:rsidRDefault="004E1283" w:rsidP="00583FE9">
            <w:pPr>
              <w:rPr>
                <w:noProof/>
                <w:spacing w:val="-4"/>
                <w:sz w:val="20"/>
              </w:rPr>
            </w:pPr>
            <w:r w:rsidRPr="00DE5E39">
              <w:rPr>
                <w:noProof/>
                <w:spacing w:val="-4"/>
                <w:sz w:val="20"/>
              </w:rPr>
              <w:t>Žiadosť</w:t>
            </w:r>
            <w:r w:rsidR="001E2023" w:rsidRPr="00DE5E39">
              <w:rPr>
                <w:noProof/>
                <w:spacing w:val="-4"/>
                <w:sz w:val="20"/>
              </w:rPr>
              <w:t xml:space="preserve"> o </w:t>
            </w:r>
            <w:r w:rsidRPr="00DE5E39">
              <w:rPr>
                <w:noProof/>
                <w:spacing w:val="-4"/>
                <w:sz w:val="20"/>
              </w:rPr>
              <w:t>zamestnancov znamená doplnenie súčasného stavu pracovnej sily TAXUD. Správne uplatňovanie smernice Rady 2022/2523 zo 14</w:t>
            </w:r>
            <w:r w:rsidR="001E2023" w:rsidRPr="00DE5E39">
              <w:rPr>
                <w:noProof/>
                <w:spacing w:val="-4"/>
                <w:sz w:val="20"/>
              </w:rPr>
              <w:t>. decembra</w:t>
            </w:r>
            <w:r w:rsidRPr="00DE5E39">
              <w:rPr>
                <w:noProof/>
                <w:spacing w:val="-4"/>
                <w:sz w:val="20"/>
              </w:rPr>
              <w:t> 2022</w:t>
            </w:r>
            <w:r w:rsidR="001E2023" w:rsidRPr="00DE5E39">
              <w:rPr>
                <w:noProof/>
                <w:spacing w:val="-4"/>
                <w:sz w:val="20"/>
              </w:rPr>
              <w:t xml:space="preserve"> o </w:t>
            </w:r>
            <w:r w:rsidRPr="00DE5E39">
              <w:rPr>
                <w:noProof/>
                <w:spacing w:val="-4"/>
                <w:sz w:val="20"/>
              </w:rPr>
              <w:t>zabezpečení globálnej minimálnej úrovne zdanenia nadnárodných skupín podnikov</w:t>
            </w:r>
            <w:r w:rsidR="001E2023" w:rsidRPr="00DE5E39">
              <w:rPr>
                <w:noProof/>
                <w:spacing w:val="-4"/>
                <w:sz w:val="20"/>
              </w:rPr>
              <w:t xml:space="preserve"> a </w:t>
            </w:r>
            <w:r w:rsidRPr="00DE5E39">
              <w:rPr>
                <w:noProof/>
                <w:spacing w:val="-4"/>
                <w:sz w:val="20"/>
              </w:rPr>
              <w:t>veľkých vnútroštátnych skupín</w:t>
            </w:r>
            <w:r w:rsidR="001E2023" w:rsidRPr="00DE5E39">
              <w:rPr>
                <w:noProof/>
                <w:spacing w:val="-4"/>
                <w:sz w:val="20"/>
              </w:rPr>
              <w:t xml:space="preserve"> v </w:t>
            </w:r>
            <w:r w:rsidRPr="00DE5E39">
              <w:rPr>
                <w:noProof/>
                <w:spacing w:val="-4"/>
                <w:sz w:val="20"/>
              </w:rPr>
              <w:t>Únii (smernica</w:t>
            </w:r>
            <w:r w:rsidR="001E2023" w:rsidRPr="00DE5E39">
              <w:rPr>
                <w:noProof/>
                <w:spacing w:val="-4"/>
                <w:sz w:val="20"/>
              </w:rPr>
              <w:t xml:space="preserve"> o </w:t>
            </w:r>
            <w:r w:rsidRPr="00DE5E39">
              <w:rPr>
                <w:noProof/>
                <w:spacing w:val="-4"/>
                <w:sz w:val="20"/>
              </w:rPr>
              <w:t>druhom pilieri) je mimoriadne dôležité pre fungovanie vnútorného trhu, ako aj pre konkurencieschopnosť EÚ. Okrem toho prinesie výrazné zníženie zaťaženia pre skupiny nadnárodných podnikov, na ktoré sa vzťahuje</w:t>
            </w:r>
            <w:r w:rsidR="001E2023" w:rsidRPr="00DE5E39">
              <w:rPr>
                <w:noProof/>
                <w:spacing w:val="-4"/>
                <w:sz w:val="20"/>
              </w:rPr>
              <w:t>.</w:t>
            </w:r>
          </w:p>
          <w:p w14:paraId="2407AEBA" w14:textId="77777777" w:rsidR="004433D6" w:rsidRPr="001E2023" w:rsidRDefault="001013E8" w:rsidP="00583FE9">
            <w:pPr>
              <w:rPr>
                <w:noProof/>
                <w:sz w:val="20"/>
              </w:rPr>
            </w:pPr>
            <w:r w:rsidRPr="001E2023">
              <w:rPr>
                <w:noProof/>
                <w:sz w:val="20"/>
              </w:rPr>
              <w:t>Táto práca sa uvádza aj</w:t>
            </w:r>
            <w:r w:rsidR="001E2023">
              <w:rPr>
                <w:noProof/>
                <w:sz w:val="20"/>
              </w:rPr>
              <w:t xml:space="preserve"> v </w:t>
            </w:r>
            <w:r w:rsidRPr="001E2023">
              <w:rPr>
                <w:noProof/>
                <w:sz w:val="20"/>
              </w:rPr>
              <w:t>poverovacom liste dezignovaného komisára zodpovedného za zdaňovanie, konkrétne spolupráca</w:t>
            </w:r>
            <w:r w:rsidR="001E2023">
              <w:rPr>
                <w:noProof/>
                <w:sz w:val="20"/>
              </w:rPr>
              <w:t xml:space="preserve"> s </w:t>
            </w:r>
            <w:r w:rsidRPr="001E2023">
              <w:rPr>
                <w:noProof/>
                <w:sz w:val="20"/>
              </w:rPr>
              <w:t>členskými štátmi pri vykonávaní globálnej dohody</w:t>
            </w:r>
            <w:r w:rsidR="001E2023">
              <w:rPr>
                <w:noProof/>
                <w:sz w:val="20"/>
              </w:rPr>
              <w:t xml:space="preserve"> o </w:t>
            </w:r>
            <w:r w:rsidRPr="001E2023">
              <w:rPr>
                <w:noProof/>
                <w:sz w:val="20"/>
              </w:rPr>
              <w:t>medzinárodnej daňovej reforme, ktorá zavádza minimálnu efektívnu sadzbu dane pre nadnárodné podniky pôsobiace</w:t>
            </w:r>
            <w:r w:rsidR="001E2023">
              <w:rPr>
                <w:noProof/>
                <w:sz w:val="20"/>
              </w:rPr>
              <w:t xml:space="preserve"> v </w:t>
            </w:r>
            <w:r w:rsidRPr="001E2023">
              <w:rPr>
                <w:noProof/>
                <w:sz w:val="20"/>
              </w:rPr>
              <w:t>EÚ</w:t>
            </w:r>
          </w:p>
          <w:p w14:paraId="55C6D509" w14:textId="77777777" w:rsidR="004E1283" w:rsidRPr="001E2023" w:rsidRDefault="004433D6" w:rsidP="004433D6">
            <w:pPr>
              <w:rPr>
                <w:noProof/>
                <w:sz w:val="20"/>
              </w:rPr>
            </w:pPr>
            <w:r w:rsidRPr="001E2023">
              <w:rPr>
                <w:noProof/>
                <w:sz w:val="20"/>
              </w:rPr>
              <w:t>Nové povinnosti vyplývajúce</w:t>
            </w:r>
            <w:r w:rsidR="001E2023">
              <w:rPr>
                <w:noProof/>
                <w:sz w:val="20"/>
              </w:rPr>
              <w:t xml:space="preserve"> z </w:t>
            </w:r>
            <w:r w:rsidRPr="001E2023">
              <w:rPr>
                <w:noProof/>
                <w:sz w:val="20"/>
              </w:rPr>
              <w:t>tohto právneho predpisu nie je možné pokryť súčasnými zamestnancami. Vzhľadom na to, že ide</w:t>
            </w:r>
            <w:r w:rsidR="001E2023">
              <w:rPr>
                <w:noProof/>
                <w:sz w:val="20"/>
              </w:rPr>
              <w:t xml:space="preserve"> o </w:t>
            </w:r>
            <w:r w:rsidRPr="001E2023">
              <w:rPr>
                <w:noProof/>
                <w:sz w:val="20"/>
              </w:rPr>
              <w:t>nepretržitú úlohu, práca bude pokračovať aj po roku 2027.</w:t>
            </w:r>
          </w:p>
        </w:tc>
      </w:tr>
      <w:tr w:rsidR="00EF7953" w:rsidRPr="001E2023" w14:paraId="0E88E08A" w14:textId="77777777">
        <w:tc>
          <w:tcPr>
            <w:tcW w:w="3240" w:type="dxa"/>
          </w:tcPr>
          <w:p w14:paraId="194C71CE" w14:textId="77777777" w:rsidR="00EF7953" w:rsidRPr="001E2023" w:rsidRDefault="00EF7953">
            <w:pPr>
              <w:spacing w:before="60" w:after="60"/>
              <w:rPr>
                <w:noProof/>
                <w:sz w:val="20"/>
              </w:rPr>
            </w:pPr>
            <w:r w:rsidRPr="001E2023">
              <w:rPr>
                <w:noProof/>
                <w:sz w:val="20"/>
              </w:rPr>
              <w:t>Externí zamestnanci</w:t>
            </w:r>
          </w:p>
        </w:tc>
        <w:tc>
          <w:tcPr>
            <w:tcW w:w="7200" w:type="dxa"/>
          </w:tcPr>
          <w:p w14:paraId="24B6A947" w14:textId="77777777" w:rsidR="00EF7953" w:rsidRPr="001E2023" w:rsidRDefault="00CC1735">
            <w:pPr>
              <w:rPr>
                <w:noProof/>
                <w:sz w:val="20"/>
              </w:rPr>
            </w:pPr>
            <w:r w:rsidRPr="001E2023">
              <w:rPr>
                <w:noProof/>
                <w:sz w:val="20"/>
              </w:rPr>
              <w:t>neuvádza sa</w:t>
            </w:r>
          </w:p>
        </w:tc>
      </w:tr>
    </w:tbl>
    <w:p w14:paraId="341AB625" w14:textId="77777777" w:rsidR="00EF7953" w:rsidRPr="001E2023" w:rsidRDefault="00EF7953">
      <w:pPr>
        <w:rPr>
          <w:noProof/>
        </w:rPr>
        <w:sectPr w:rsidR="00EF7953" w:rsidRPr="001E2023" w:rsidSect="003F317C">
          <w:pgSz w:w="11907" w:h="16840"/>
          <w:pgMar w:top="1134" w:right="1418" w:bottom="1134" w:left="1418" w:header="709" w:footer="709" w:gutter="0"/>
          <w:cols w:space="708"/>
          <w:docGrid w:linePitch="360"/>
        </w:sectPr>
      </w:pPr>
    </w:p>
    <w:p w14:paraId="7FCA8321" w14:textId="77777777" w:rsidR="001E2023" w:rsidRPr="001E2023" w:rsidRDefault="00EF7953">
      <w:pPr>
        <w:pStyle w:val="ManualHeading3"/>
        <w:rPr>
          <w:noProof/>
        </w:rPr>
      </w:pPr>
      <w:bookmarkStart w:id="65" w:name="_Toc514938056"/>
      <w:bookmarkStart w:id="66" w:name="_Toc520485055"/>
      <w:r w:rsidRPr="001E2023">
        <w:rPr>
          <w:noProof/>
        </w:rPr>
        <w:t>3.2.4.</w:t>
      </w:r>
      <w:r w:rsidRPr="001E2023">
        <w:rPr>
          <w:noProof/>
        </w:rPr>
        <w:tab/>
        <w:t>Súlad</w:t>
      </w:r>
      <w:r w:rsidR="001E2023">
        <w:rPr>
          <w:noProof/>
        </w:rPr>
        <w:t xml:space="preserve"> s </w:t>
      </w:r>
      <w:r w:rsidRPr="001E2023">
        <w:rPr>
          <w:noProof/>
        </w:rPr>
        <w:t>platným viacročným finančným rámcom</w:t>
      </w:r>
      <w:bookmarkEnd w:id="65"/>
      <w:bookmarkEnd w:id="66"/>
    </w:p>
    <w:p w14:paraId="17157317" w14:textId="77777777" w:rsidR="00EF7953" w:rsidRPr="001E2023" w:rsidRDefault="00EF7953">
      <w:pPr>
        <w:pStyle w:val="Text1"/>
        <w:rPr>
          <w:noProof/>
        </w:rPr>
      </w:pPr>
      <w:r w:rsidRPr="001E2023">
        <w:rPr>
          <w:noProof/>
        </w:rPr>
        <w:t>Návrh/iniciatíva:</w:t>
      </w:r>
    </w:p>
    <w:p w14:paraId="2CECF4A0" w14:textId="77777777" w:rsidR="00EF7953" w:rsidRPr="001E2023" w:rsidRDefault="00541013">
      <w:pPr>
        <w:pStyle w:val="ListDash1"/>
        <w:rPr>
          <w:noProof/>
        </w:rPr>
      </w:pPr>
      <w:sdt>
        <w:sdtPr>
          <w:rPr>
            <w:noProof/>
          </w:rPr>
          <w:id w:val="76878632"/>
          <w14:checkbox>
            <w14:checked w14:val="1"/>
            <w14:checkedState w14:val="2612" w14:font="MS Gothic"/>
            <w14:uncheckedState w14:val="2610" w14:font="MS Gothic"/>
          </w14:checkbox>
        </w:sdtPr>
        <w:sdtEndPr/>
        <w:sdtContent>
          <w:r w:rsidR="00E62D94" w:rsidRPr="001E2023">
            <w:rPr>
              <w:rFonts w:ascii="MS Gothic" w:eastAsia="MS Gothic" w:hAnsi="MS Gothic"/>
              <w:noProof/>
            </w:rPr>
            <w:t>☒</w:t>
          </w:r>
        </w:sdtContent>
      </w:sdt>
      <w:r w:rsidR="00B21B48" w:rsidRPr="001E2023">
        <w:rPr>
          <w:noProof/>
        </w:rPr>
        <w:tab/>
        <w:t>môže byť</w:t>
      </w:r>
      <w:r w:rsidR="001E2023">
        <w:rPr>
          <w:noProof/>
        </w:rPr>
        <w:t xml:space="preserve"> v </w:t>
      </w:r>
      <w:r w:rsidR="00B21B48" w:rsidRPr="001E2023">
        <w:rPr>
          <w:noProof/>
        </w:rPr>
        <w:t>plnej miere financovaná prerozdelením</w:t>
      </w:r>
      <w:r w:rsidR="001E2023">
        <w:rPr>
          <w:noProof/>
        </w:rPr>
        <w:t xml:space="preserve"> v </w:t>
      </w:r>
      <w:r w:rsidR="00B21B48" w:rsidRPr="001E2023">
        <w:rPr>
          <w:noProof/>
        </w:rPr>
        <w:t>rámci príslušného okruhu viacročného finančného rámca (VFR).</w:t>
      </w:r>
    </w:p>
    <w:p w14:paraId="19716B9B" w14:textId="77777777" w:rsidR="00EF7953" w:rsidRPr="001E2023" w:rsidRDefault="009D4DC5">
      <w:pPr>
        <w:pStyle w:val="Text1"/>
        <w:pBdr>
          <w:top w:val="single" w:sz="4" w:space="1" w:color="auto"/>
          <w:left w:val="single" w:sz="4" w:space="4" w:color="auto"/>
          <w:bottom w:val="single" w:sz="4" w:space="1" w:color="auto"/>
          <w:right w:val="single" w:sz="4" w:space="4" w:color="auto"/>
        </w:pBdr>
        <w:rPr>
          <w:noProof/>
          <w:sz w:val="20"/>
        </w:rPr>
      </w:pPr>
      <w:r w:rsidRPr="001E2023">
        <w:rPr>
          <w:noProof/>
          <w:sz w:val="20"/>
        </w:rPr>
        <w:t>Tento návrh bude financovaný</w:t>
      </w:r>
      <w:r w:rsidR="001E2023">
        <w:rPr>
          <w:noProof/>
          <w:sz w:val="20"/>
        </w:rPr>
        <w:t xml:space="preserve"> z </w:t>
      </w:r>
      <w:r w:rsidRPr="001E2023">
        <w:rPr>
          <w:noProof/>
          <w:sz w:val="20"/>
        </w:rPr>
        <w:t>presunutých finančných prostriedkov</w:t>
      </w:r>
      <w:r w:rsidR="001E2023">
        <w:rPr>
          <w:noProof/>
          <w:sz w:val="20"/>
        </w:rPr>
        <w:t xml:space="preserve"> z </w:t>
      </w:r>
      <w:r w:rsidRPr="001E2023">
        <w:rPr>
          <w:noProof/>
          <w:sz w:val="20"/>
        </w:rPr>
        <w:t>existujúceho programu Fiscalis na roky 2024 – 2027.</w:t>
      </w:r>
    </w:p>
    <w:p w14:paraId="2F39C5BE" w14:textId="77777777" w:rsidR="00EF7953" w:rsidRPr="001E2023" w:rsidRDefault="00EF7953">
      <w:pPr>
        <w:pStyle w:val="ListDash1"/>
        <w:rPr>
          <w:noProof/>
        </w:rPr>
      </w:pPr>
      <w:r w:rsidRPr="001E2023">
        <w:rPr>
          <w:rFonts w:ascii="Wingdings" w:hAnsi="Wingdings"/>
          <w:noProof/>
        </w:rPr>
        <w:t></w:t>
      </w:r>
      <w:r w:rsidRPr="001E2023">
        <w:rPr>
          <w:noProof/>
        </w:rPr>
        <w:tab/>
        <w:t>si vyžaduje použitie nepridelenej rezervy</w:t>
      </w:r>
      <w:r w:rsidR="001E2023">
        <w:rPr>
          <w:noProof/>
        </w:rPr>
        <w:t xml:space="preserve"> v </w:t>
      </w:r>
      <w:r w:rsidRPr="001E2023">
        <w:rPr>
          <w:noProof/>
        </w:rPr>
        <w:t>rámci príslušného okruhu VFR a/alebo použitie osobitných nástrojov vymedzených</w:t>
      </w:r>
      <w:r w:rsidR="001E2023">
        <w:rPr>
          <w:noProof/>
        </w:rPr>
        <w:t xml:space="preserve"> v </w:t>
      </w:r>
      <w:r w:rsidRPr="001E2023">
        <w:rPr>
          <w:noProof/>
        </w:rPr>
        <w:t>nariadení</w:t>
      </w:r>
      <w:r w:rsidR="001E2023">
        <w:rPr>
          <w:noProof/>
        </w:rPr>
        <w:t xml:space="preserve"> o </w:t>
      </w:r>
      <w:r w:rsidRPr="001E2023">
        <w:rPr>
          <w:noProof/>
        </w:rPr>
        <w:t>VFR.</w:t>
      </w:r>
    </w:p>
    <w:p w14:paraId="5663D8D9" w14:textId="77777777" w:rsidR="00EF7953" w:rsidRPr="001E2023" w:rsidRDefault="00EF7953">
      <w:pPr>
        <w:pStyle w:val="Text1"/>
        <w:pBdr>
          <w:top w:val="single" w:sz="4" w:space="1" w:color="auto"/>
          <w:left w:val="single" w:sz="4" w:space="4" w:color="auto"/>
          <w:bottom w:val="single" w:sz="4" w:space="1" w:color="auto"/>
          <w:right w:val="single" w:sz="4" w:space="4" w:color="auto"/>
        </w:pBdr>
        <w:rPr>
          <w:noProof/>
          <w:sz w:val="20"/>
        </w:rPr>
      </w:pPr>
      <w:r w:rsidRPr="001E2023">
        <w:rPr>
          <w:noProof/>
          <w:sz w:val="20"/>
        </w:rPr>
        <w:t>Vysvetlite potrebu</w:t>
      </w:r>
      <w:r w:rsidR="001E2023">
        <w:rPr>
          <w:noProof/>
          <w:sz w:val="20"/>
        </w:rPr>
        <w:t xml:space="preserve"> a </w:t>
      </w:r>
      <w:r w:rsidRPr="001E2023">
        <w:rPr>
          <w:noProof/>
          <w:sz w:val="20"/>
        </w:rPr>
        <w:t>uveďte príslušné okruhy, rozpočtové riadky, zodpovedajúce sumy</w:t>
      </w:r>
      <w:r w:rsidR="001E2023">
        <w:rPr>
          <w:noProof/>
          <w:sz w:val="20"/>
        </w:rPr>
        <w:t xml:space="preserve"> a </w:t>
      </w:r>
      <w:r w:rsidRPr="001E2023">
        <w:rPr>
          <w:noProof/>
          <w:sz w:val="20"/>
        </w:rPr>
        <w:t>nástroje, ktorých použitie sa navrhuje.</w:t>
      </w:r>
    </w:p>
    <w:p w14:paraId="4F82D9F8" w14:textId="77777777" w:rsidR="00EF7953" w:rsidRPr="001E2023" w:rsidRDefault="00EF7953">
      <w:pPr>
        <w:pStyle w:val="ListDash1"/>
        <w:rPr>
          <w:noProof/>
        </w:rPr>
      </w:pPr>
      <w:r w:rsidRPr="001E2023">
        <w:rPr>
          <w:rFonts w:ascii="Wingdings" w:hAnsi="Wingdings"/>
          <w:noProof/>
        </w:rPr>
        <w:t></w:t>
      </w:r>
      <w:r w:rsidRPr="001E2023">
        <w:rPr>
          <w:noProof/>
        </w:rPr>
        <w:tab/>
        <w:t>si vyžaduje revíziu VFR.</w:t>
      </w:r>
    </w:p>
    <w:p w14:paraId="69F0D077" w14:textId="77777777" w:rsidR="00EF7953" w:rsidRPr="001E2023" w:rsidRDefault="00EF7953">
      <w:pPr>
        <w:pStyle w:val="Text1"/>
        <w:pBdr>
          <w:top w:val="single" w:sz="4" w:space="1" w:color="auto"/>
          <w:left w:val="single" w:sz="4" w:space="4" w:color="auto"/>
          <w:bottom w:val="single" w:sz="4" w:space="1" w:color="auto"/>
          <w:right w:val="single" w:sz="4" w:space="4" w:color="auto"/>
        </w:pBdr>
        <w:rPr>
          <w:noProof/>
          <w:sz w:val="20"/>
        </w:rPr>
      </w:pPr>
      <w:r w:rsidRPr="001E2023">
        <w:rPr>
          <w:noProof/>
          <w:sz w:val="20"/>
        </w:rPr>
        <w:t>Vysvetlite potrebu</w:t>
      </w:r>
      <w:r w:rsidR="001E2023">
        <w:rPr>
          <w:noProof/>
          <w:sz w:val="20"/>
        </w:rPr>
        <w:t xml:space="preserve"> a </w:t>
      </w:r>
      <w:r w:rsidRPr="001E2023">
        <w:rPr>
          <w:noProof/>
          <w:sz w:val="20"/>
        </w:rPr>
        <w:t>uveďte príslušné okruhy, rozpočtové riadky</w:t>
      </w:r>
      <w:r w:rsidR="001E2023">
        <w:rPr>
          <w:noProof/>
          <w:sz w:val="20"/>
        </w:rPr>
        <w:t xml:space="preserve"> a </w:t>
      </w:r>
      <w:r w:rsidRPr="001E2023">
        <w:rPr>
          <w:noProof/>
          <w:sz w:val="20"/>
        </w:rPr>
        <w:t>zodpovedajúce sumy.</w:t>
      </w:r>
    </w:p>
    <w:p w14:paraId="567A491C" w14:textId="77777777" w:rsidR="001E2023" w:rsidRPr="001E2023" w:rsidRDefault="00EF7953">
      <w:pPr>
        <w:pStyle w:val="ManualHeading3"/>
        <w:rPr>
          <w:noProof/>
        </w:rPr>
      </w:pPr>
      <w:bookmarkStart w:id="67" w:name="_Toc514938058"/>
      <w:bookmarkStart w:id="68" w:name="_Toc520485056"/>
      <w:r w:rsidRPr="001E2023">
        <w:rPr>
          <w:noProof/>
        </w:rPr>
        <w:t>3.2.5.</w:t>
      </w:r>
      <w:r w:rsidRPr="001E2023">
        <w:rPr>
          <w:noProof/>
        </w:rPr>
        <w:tab/>
        <w:t>Príspevky od tretích strán</w:t>
      </w:r>
      <w:bookmarkEnd w:id="67"/>
      <w:bookmarkEnd w:id="68"/>
    </w:p>
    <w:p w14:paraId="2C5395E2" w14:textId="77777777" w:rsidR="00EF7953" w:rsidRPr="001E2023" w:rsidRDefault="00EF7953">
      <w:pPr>
        <w:pStyle w:val="Text1"/>
        <w:rPr>
          <w:noProof/>
        </w:rPr>
      </w:pPr>
      <w:r w:rsidRPr="001E2023">
        <w:rPr>
          <w:noProof/>
        </w:rPr>
        <w:t>Návrh/iniciatíva:</w:t>
      </w:r>
    </w:p>
    <w:p w14:paraId="1DA9C95C" w14:textId="77777777" w:rsidR="00EF7953" w:rsidRPr="001E2023" w:rsidRDefault="00541013">
      <w:pPr>
        <w:pStyle w:val="ListDash1"/>
        <w:rPr>
          <w:noProof/>
        </w:rPr>
      </w:pPr>
      <w:sdt>
        <w:sdtPr>
          <w:rPr>
            <w:noProof/>
          </w:rPr>
          <w:id w:val="1238591967"/>
          <w14:checkbox>
            <w14:checked w14:val="1"/>
            <w14:checkedState w14:val="2612" w14:font="MS Gothic"/>
            <w14:uncheckedState w14:val="2610" w14:font="MS Gothic"/>
          </w14:checkbox>
        </w:sdtPr>
        <w:sdtEndPr/>
        <w:sdtContent>
          <w:r w:rsidR="00E62D94" w:rsidRPr="001E2023">
            <w:rPr>
              <w:rFonts w:ascii="MS Gothic" w:eastAsia="MS Gothic" w:hAnsi="MS Gothic"/>
              <w:noProof/>
            </w:rPr>
            <w:t>☒</w:t>
          </w:r>
        </w:sdtContent>
      </w:sdt>
      <w:r w:rsidR="00B21B48" w:rsidRPr="001E2023">
        <w:rPr>
          <w:noProof/>
        </w:rPr>
        <w:tab/>
        <w:t>nezahŕňa spolufinancovanie tretími stranami</w:t>
      </w:r>
    </w:p>
    <w:p w14:paraId="159E8220" w14:textId="77777777" w:rsidR="00EF7953" w:rsidRPr="001E2023" w:rsidRDefault="00EF7953">
      <w:pPr>
        <w:pStyle w:val="ListDash1"/>
        <w:rPr>
          <w:noProof/>
        </w:rPr>
      </w:pPr>
      <w:r w:rsidRPr="001E2023">
        <w:rPr>
          <w:rFonts w:ascii="Wingdings" w:hAnsi="Wingdings"/>
          <w:noProof/>
        </w:rPr>
        <w:t></w:t>
      </w:r>
      <w:r w:rsidRPr="001E2023">
        <w:rPr>
          <w:noProof/>
        </w:rPr>
        <w:tab/>
        <w:t>zahŕňa spolufinancovanie tretími stranami, ako je odhadnuté</w:t>
      </w:r>
      <w:r w:rsidR="001E2023">
        <w:rPr>
          <w:noProof/>
        </w:rPr>
        <w:t xml:space="preserve"> v </w:t>
      </w:r>
      <w:r w:rsidRPr="001E2023">
        <w:rPr>
          <w:noProof/>
        </w:rPr>
        <w:t>nasledujúcej tabuľke:</w:t>
      </w:r>
    </w:p>
    <w:p w14:paraId="7CF2C5D6" w14:textId="77777777" w:rsidR="00EF7953" w:rsidRPr="001E2023" w:rsidRDefault="00EF7953">
      <w:pPr>
        <w:jc w:val="right"/>
        <w:rPr>
          <w:noProof/>
          <w:sz w:val="20"/>
        </w:rPr>
      </w:pPr>
      <w:r w:rsidRPr="001E2023">
        <w:rPr>
          <w:noProof/>
          <w:sz w:val="20"/>
        </w:rPr>
        <w:t>rozpočtové prostriedky</w:t>
      </w:r>
      <w:r w:rsidR="001E2023">
        <w:rPr>
          <w:noProof/>
          <w:sz w:val="20"/>
        </w:rPr>
        <w:t xml:space="preserve"> v </w:t>
      </w:r>
      <w:r w:rsidRPr="001E2023">
        <w:rPr>
          <w:noProof/>
          <w:sz w:val="20"/>
        </w:rPr>
        <w:t>mil. EUR (zaokrúhlené na 3 desatinné miesta)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F7953" w:rsidRPr="001E2023" w14:paraId="09DB6626" w14:textId="77777777" w:rsidTr="4A48B060">
        <w:trPr>
          <w:cantSplit/>
        </w:trPr>
        <w:tc>
          <w:tcPr>
            <w:tcW w:w="2340" w:type="dxa"/>
          </w:tcPr>
          <w:p w14:paraId="089C9623" w14:textId="77777777" w:rsidR="00EF7953" w:rsidRPr="001E2023" w:rsidRDefault="00EF7953">
            <w:pPr>
              <w:spacing w:before="60" w:after="60"/>
              <w:rPr>
                <w:noProof/>
                <w:sz w:val="20"/>
              </w:rPr>
            </w:pPr>
          </w:p>
        </w:tc>
        <w:tc>
          <w:tcPr>
            <w:tcW w:w="964" w:type="dxa"/>
            <w:vAlign w:val="center"/>
          </w:tcPr>
          <w:p w14:paraId="7A3865B3" w14:textId="77777777" w:rsidR="00EF7953" w:rsidRPr="001E2023" w:rsidRDefault="00EF7953">
            <w:pPr>
              <w:jc w:val="center"/>
              <w:rPr>
                <w:noProof/>
                <w:sz w:val="20"/>
              </w:rPr>
            </w:pPr>
            <w:r w:rsidRPr="001E2023">
              <w:rPr>
                <w:noProof/>
                <w:sz w:val="20"/>
              </w:rPr>
              <w:t>Rok</w:t>
            </w:r>
            <w:r w:rsidRPr="001E2023">
              <w:rPr>
                <w:noProof/>
                <w:sz w:val="22"/>
              </w:rPr>
              <w:br/>
            </w:r>
            <w:r w:rsidRPr="001E2023">
              <w:rPr>
                <w:b/>
                <w:noProof/>
                <w:sz w:val="20"/>
              </w:rPr>
              <w:t>N</w:t>
            </w:r>
            <w:r w:rsidRPr="001E2023">
              <w:rPr>
                <w:rStyle w:val="Odkaznapoznmkupodiarou"/>
                <w:b/>
                <w:bCs/>
                <w:noProof/>
                <w:sz w:val="20"/>
                <w:szCs w:val="20"/>
              </w:rPr>
              <w:footnoteReference w:id="30"/>
            </w:r>
          </w:p>
        </w:tc>
        <w:tc>
          <w:tcPr>
            <w:tcW w:w="964" w:type="dxa"/>
            <w:vAlign w:val="center"/>
          </w:tcPr>
          <w:p w14:paraId="60A26B94" w14:textId="77777777" w:rsidR="00EF7953" w:rsidRPr="001E2023" w:rsidRDefault="00EF7953">
            <w:pPr>
              <w:jc w:val="center"/>
              <w:rPr>
                <w:noProof/>
                <w:sz w:val="20"/>
              </w:rPr>
            </w:pPr>
            <w:r w:rsidRPr="001E2023">
              <w:rPr>
                <w:noProof/>
                <w:sz w:val="20"/>
              </w:rPr>
              <w:t>Rok</w:t>
            </w:r>
            <w:r w:rsidRPr="001E2023">
              <w:rPr>
                <w:noProof/>
                <w:sz w:val="22"/>
              </w:rPr>
              <w:br/>
            </w:r>
            <w:r w:rsidRPr="001E2023">
              <w:rPr>
                <w:b/>
                <w:noProof/>
                <w:sz w:val="20"/>
              </w:rPr>
              <w:t>N + 1</w:t>
            </w:r>
          </w:p>
        </w:tc>
        <w:tc>
          <w:tcPr>
            <w:tcW w:w="964" w:type="dxa"/>
            <w:vAlign w:val="center"/>
          </w:tcPr>
          <w:p w14:paraId="5205E7CD" w14:textId="77777777" w:rsidR="00EF7953" w:rsidRPr="001E2023" w:rsidRDefault="00EF7953">
            <w:pPr>
              <w:jc w:val="center"/>
              <w:rPr>
                <w:noProof/>
                <w:sz w:val="20"/>
              </w:rPr>
            </w:pPr>
            <w:r w:rsidRPr="001E2023">
              <w:rPr>
                <w:noProof/>
                <w:sz w:val="20"/>
              </w:rPr>
              <w:t>Rok</w:t>
            </w:r>
            <w:r w:rsidRPr="001E2023">
              <w:rPr>
                <w:noProof/>
                <w:sz w:val="22"/>
              </w:rPr>
              <w:br/>
            </w:r>
            <w:r w:rsidRPr="001E2023">
              <w:rPr>
                <w:b/>
                <w:noProof/>
                <w:sz w:val="20"/>
              </w:rPr>
              <w:t>N + 2</w:t>
            </w:r>
          </w:p>
        </w:tc>
        <w:tc>
          <w:tcPr>
            <w:tcW w:w="964" w:type="dxa"/>
            <w:vAlign w:val="center"/>
          </w:tcPr>
          <w:p w14:paraId="479A97E9" w14:textId="77777777" w:rsidR="00EF7953" w:rsidRPr="001E2023" w:rsidRDefault="00EF7953">
            <w:pPr>
              <w:jc w:val="center"/>
              <w:rPr>
                <w:noProof/>
                <w:sz w:val="20"/>
              </w:rPr>
            </w:pPr>
            <w:r w:rsidRPr="001E2023">
              <w:rPr>
                <w:noProof/>
                <w:sz w:val="20"/>
              </w:rPr>
              <w:t>Rok</w:t>
            </w:r>
            <w:r w:rsidRPr="001E2023">
              <w:rPr>
                <w:noProof/>
                <w:sz w:val="22"/>
              </w:rPr>
              <w:br/>
            </w:r>
            <w:r w:rsidRPr="001E2023">
              <w:rPr>
                <w:b/>
                <w:noProof/>
                <w:sz w:val="20"/>
              </w:rPr>
              <w:t>N + 3</w:t>
            </w:r>
          </w:p>
        </w:tc>
        <w:tc>
          <w:tcPr>
            <w:tcW w:w="2892" w:type="dxa"/>
            <w:gridSpan w:val="3"/>
            <w:vAlign w:val="center"/>
          </w:tcPr>
          <w:p w14:paraId="10C2A9D4" w14:textId="77777777" w:rsidR="00EF7953" w:rsidRPr="001E2023" w:rsidRDefault="00EF7953">
            <w:pPr>
              <w:jc w:val="center"/>
              <w:rPr>
                <w:b/>
                <w:noProof/>
                <w:sz w:val="20"/>
              </w:rPr>
            </w:pPr>
            <w:r w:rsidRPr="001E2023">
              <w:rPr>
                <w:noProof/>
                <w:sz w:val="20"/>
              </w:rPr>
              <w:t>Uveďte všetky roky, počas ktorých vplyv trvá (pozri bod 1.6)</w:t>
            </w:r>
          </w:p>
        </w:tc>
        <w:tc>
          <w:tcPr>
            <w:tcW w:w="1158" w:type="dxa"/>
            <w:vAlign w:val="center"/>
          </w:tcPr>
          <w:p w14:paraId="16F9D7E0" w14:textId="77777777" w:rsidR="00EF7953" w:rsidRPr="001E2023" w:rsidRDefault="00EF7953">
            <w:pPr>
              <w:spacing w:before="60" w:after="60"/>
              <w:jc w:val="center"/>
              <w:rPr>
                <w:noProof/>
                <w:sz w:val="20"/>
              </w:rPr>
            </w:pPr>
            <w:r w:rsidRPr="001E2023">
              <w:rPr>
                <w:noProof/>
                <w:sz w:val="20"/>
              </w:rPr>
              <w:t>Spolu</w:t>
            </w:r>
          </w:p>
        </w:tc>
      </w:tr>
      <w:tr w:rsidR="00EF7953" w:rsidRPr="001E2023" w14:paraId="4D246C81" w14:textId="77777777" w:rsidTr="4A48B060">
        <w:trPr>
          <w:cantSplit/>
        </w:trPr>
        <w:tc>
          <w:tcPr>
            <w:tcW w:w="2340" w:type="dxa"/>
          </w:tcPr>
          <w:p w14:paraId="40EA7501" w14:textId="77777777" w:rsidR="00EF7953" w:rsidRPr="001E2023" w:rsidRDefault="00EF7953">
            <w:pPr>
              <w:rPr>
                <w:noProof/>
              </w:rPr>
            </w:pPr>
            <w:r w:rsidRPr="001E2023">
              <w:rPr>
                <w:noProof/>
                <w:sz w:val="20"/>
              </w:rPr>
              <w:t>Uveďte spolufinancujúci subjekt</w:t>
            </w:r>
            <w:r w:rsidRPr="001E2023">
              <w:rPr>
                <w:i/>
                <w:noProof/>
                <w:sz w:val="20"/>
              </w:rPr>
              <w:t xml:space="preserve"> </w:t>
            </w:r>
          </w:p>
        </w:tc>
        <w:tc>
          <w:tcPr>
            <w:tcW w:w="964" w:type="dxa"/>
            <w:vAlign w:val="center"/>
          </w:tcPr>
          <w:p w14:paraId="7D977FDA" w14:textId="77777777" w:rsidR="00EF7953" w:rsidRPr="001E2023" w:rsidRDefault="00EF7953">
            <w:pPr>
              <w:spacing w:before="60" w:after="60"/>
              <w:jc w:val="center"/>
              <w:rPr>
                <w:noProof/>
                <w:sz w:val="20"/>
              </w:rPr>
            </w:pPr>
          </w:p>
        </w:tc>
        <w:tc>
          <w:tcPr>
            <w:tcW w:w="964" w:type="dxa"/>
            <w:vAlign w:val="center"/>
          </w:tcPr>
          <w:p w14:paraId="3810BBE4" w14:textId="77777777" w:rsidR="00EF7953" w:rsidRPr="001E2023" w:rsidRDefault="00EF7953">
            <w:pPr>
              <w:spacing w:before="60" w:after="60"/>
              <w:jc w:val="center"/>
              <w:rPr>
                <w:noProof/>
                <w:sz w:val="20"/>
              </w:rPr>
            </w:pPr>
          </w:p>
        </w:tc>
        <w:tc>
          <w:tcPr>
            <w:tcW w:w="964" w:type="dxa"/>
            <w:vAlign w:val="center"/>
          </w:tcPr>
          <w:p w14:paraId="7504F0AB" w14:textId="77777777" w:rsidR="00EF7953" w:rsidRPr="001E2023" w:rsidRDefault="00EF7953">
            <w:pPr>
              <w:spacing w:before="60" w:after="60"/>
              <w:jc w:val="center"/>
              <w:rPr>
                <w:noProof/>
                <w:sz w:val="20"/>
              </w:rPr>
            </w:pPr>
          </w:p>
        </w:tc>
        <w:tc>
          <w:tcPr>
            <w:tcW w:w="964" w:type="dxa"/>
            <w:vAlign w:val="center"/>
          </w:tcPr>
          <w:p w14:paraId="5991BDF7" w14:textId="77777777" w:rsidR="00EF7953" w:rsidRPr="001E2023" w:rsidRDefault="00EF7953">
            <w:pPr>
              <w:spacing w:before="60" w:after="60"/>
              <w:jc w:val="center"/>
              <w:rPr>
                <w:noProof/>
                <w:sz w:val="20"/>
              </w:rPr>
            </w:pPr>
          </w:p>
        </w:tc>
        <w:tc>
          <w:tcPr>
            <w:tcW w:w="964" w:type="dxa"/>
            <w:vAlign w:val="center"/>
          </w:tcPr>
          <w:p w14:paraId="473191A9" w14:textId="77777777" w:rsidR="00EF7953" w:rsidRPr="001E2023" w:rsidRDefault="00EF7953">
            <w:pPr>
              <w:spacing w:before="60" w:after="60"/>
              <w:jc w:val="center"/>
              <w:rPr>
                <w:noProof/>
                <w:sz w:val="20"/>
              </w:rPr>
            </w:pPr>
          </w:p>
        </w:tc>
        <w:tc>
          <w:tcPr>
            <w:tcW w:w="964" w:type="dxa"/>
            <w:vAlign w:val="center"/>
          </w:tcPr>
          <w:p w14:paraId="53ADCD92" w14:textId="77777777" w:rsidR="00EF7953" w:rsidRPr="001E2023" w:rsidRDefault="00EF7953">
            <w:pPr>
              <w:spacing w:before="60" w:after="60"/>
              <w:jc w:val="center"/>
              <w:rPr>
                <w:noProof/>
                <w:sz w:val="20"/>
              </w:rPr>
            </w:pPr>
          </w:p>
        </w:tc>
        <w:tc>
          <w:tcPr>
            <w:tcW w:w="964" w:type="dxa"/>
            <w:vAlign w:val="center"/>
          </w:tcPr>
          <w:p w14:paraId="4DB43753" w14:textId="77777777" w:rsidR="00EF7953" w:rsidRPr="001E2023" w:rsidRDefault="00EF7953">
            <w:pPr>
              <w:spacing w:before="60" w:after="60"/>
              <w:jc w:val="center"/>
              <w:rPr>
                <w:noProof/>
                <w:sz w:val="20"/>
              </w:rPr>
            </w:pPr>
          </w:p>
        </w:tc>
        <w:tc>
          <w:tcPr>
            <w:tcW w:w="1158" w:type="dxa"/>
            <w:vAlign w:val="center"/>
          </w:tcPr>
          <w:p w14:paraId="15BB4A77" w14:textId="77777777" w:rsidR="00EF7953" w:rsidRPr="001E2023" w:rsidRDefault="00EF7953">
            <w:pPr>
              <w:spacing w:before="60" w:after="60"/>
              <w:jc w:val="center"/>
              <w:rPr>
                <w:noProof/>
                <w:sz w:val="20"/>
              </w:rPr>
            </w:pPr>
          </w:p>
        </w:tc>
      </w:tr>
      <w:tr w:rsidR="00EF7953" w:rsidRPr="001E2023" w14:paraId="7EDD0282" w14:textId="77777777" w:rsidTr="4A48B060">
        <w:trPr>
          <w:cantSplit/>
        </w:trPr>
        <w:tc>
          <w:tcPr>
            <w:tcW w:w="2340" w:type="dxa"/>
          </w:tcPr>
          <w:p w14:paraId="09637053" w14:textId="77777777" w:rsidR="00EF7953" w:rsidRPr="001E2023" w:rsidRDefault="00EF7953">
            <w:pPr>
              <w:spacing w:before="60" w:after="60"/>
              <w:jc w:val="left"/>
              <w:rPr>
                <w:noProof/>
                <w:sz w:val="20"/>
              </w:rPr>
            </w:pPr>
            <w:r w:rsidRPr="001E2023">
              <w:rPr>
                <w:noProof/>
                <w:sz w:val="20"/>
              </w:rPr>
              <w:t xml:space="preserve">Prostriedky zo spolufinancovania SPOLU </w:t>
            </w:r>
          </w:p>
        </w:tc>
        <w:tc>
          <w:tcPr>
            <w:tcW w:w="964" w:type="dxa"/>
            <w:vAlign w:val="center"/>
          </w:tcPr>
          <w:p w14:paraId="46D8E35D" w14:textId="77777777" w:rsidR="00EF7953" w:rsidRPr="001E2023" w:rsidRDefault="00EF7953">
            <w:pPr>
              <w:spacing w:before="60" w:after="60"/>
              <w:jc w:val="center"/>
              <w:rPr>
                <w:noProof/>
                <w:sz w:val="20"/>
              </w:rPr>
            </w:pPr>
          </w:p>
        </w:tc>
        <w:tc>
          <w:tcPr>
            <w:tcW w:w="964" w:type="dxa"/>
            <w:vAlign w:val="center"/>
          </w:tcPr>
          <w:p w14:paraId="09973E01" w14:textId="77777777" w:rsidR="00EF7953" w:rsidRPr="001E2023" w:rsidRDefault="00EF7953">
            <w:pPr>
              <w:spacing w:before="60" w:after="60"/>
              <w:jc w:val="center"/>
              <w:rPr>
                <w:noProof/>
                <w:sz w:val="20"/>
              </w:rPr>
            </w:pPr>
          </w:p>
        </w:tc>
        <w:tc>
          <w:tcPr>
            <w:tcW w:w="964" w:type="dxa"/>
            <w:vAlign w:val="center"/>
          </w:tcPr>
          <w:p w14:paraId="0A327054" w14:textId="77777777" w:rsidR="00EF7953" w:rsidRPr="001E2023" w:rsidRDefault="00EF7953">
            <w:pPr>
              <w:spacing w:before="60" w:after="60"/>
              <w:jc w:val="center"/>
              <w:rPr>
                <w:noProof/>
                <w:sz w:val="20"/>
              </w:rPr>
            </w:pPr>
          </w:p>
        </w:tc>
        <w:tc>
          <w:tcPr>
            <w:tcW w:w="964" w:type="dxa"/>
            <w:vAlign w:val="center"/>
          </w:tcPr>
          <w:p w14:paraId="4C0BF053" w14:textId="77777777" w:rsidR="00EF7953" w:rsidRPr="001E2023" w:rsidRDefault="00EF7953">
            <w:pPr>
              <w:spacing w:before="60" w:after="60"/>
              <w:jc w:val="center"/>
              <w:rPr>
                <w:noProof/>
                <w:sz w:val="20"/>
              </w:rPr>
            </w:pPr>
          </w:p>
        </w:tc>
        <w:tc>
          <w:tcPr>
            <w:tcW w:w="964" w:type="dxa"/>
            <w:vAlign w:val="center"/>
          </w:tcPr>
          <w:p w14:paraId="010F87A2" w14:textId="77777777" w:rsidR="00EF7953" w:rsidRPr="001E2023" w:rsidRDefault="00EF7953">
            <w:pPr>
              <w:spacing w:before="60" w:after="60"/>
              <w:jc w:val="center"/>
              <w:rPr>
                <w:noProof/>
                <w:sz w:val="20"/>
              </w:rPr>
            </w:pPr>
          </w:p>
        </w:tc>
        <w:tc>
          <w:tcPr>
            <w:tcW w:w="964" w:type="dxa"/>
            <w:vAlign w:val="center"/>
          </w:tcPr>
          <w:p w14:paraId="4BD2FF68" w14:textId="77777777" w:rsidR="00EF7953" w:rsidRPr="001E2023" w:rsidRDefault="00EF7953">
            <w:pPr>
              <w:spacing w:before="60" w:after="60"/>
              <w:jc w:val="center"/>
              <w:rPr>
                <w:noProof/>
                <w:sz w:val="20"/>
              </w:rPr>
            </w:pPr>
          </w:p>
        </w:tc>
        <w:tc>
          <w:tcPr>
            <w:tcW w:w="964" w:type="dxa"/>
            <w:vAlign w:val="center"/>
          </w:tcPr>
          <w:p w14:paraId="789D2367" w14:textId="77777777" w:rsidR="00EF7953" w:rsidRPr="001E2023" w:rsidRDefault="00EF7953">
            <w:pPr>
              <w:spacing w:before="60" w:after="60"/>
              <w:jc w:val="center"/>
              <w:rPr>
                <w:noProof/>
                <w:sz w:val="20"/>
              </w:rPr>
            </w:pPr>
          </w:p>
        </w:tc>
        <w:tc>
          <w:tcPr>
            <w:tcW w:w="1158" w:type="dxa"/>
            <w:vAlign w:val="center"/>
          </w:tcPr>
          <w:p w14:paraId="3F641DEE" w14:textId="77777777" w:rsidR="00EF7953" w:rsidRPr="001E2023" w:rsidRDefault="00EF7953">
            <w:pPr>
              <w:spacing w:before="60" w:after="60"/>
              <w:jc w:val="center"/>
              <w:rPr>
                <w:noProof/>
                <w:sz w:val="20"/>
              </w:rPr>
            </w:pPr>
          </w:p>
        </w:tc>
      </w:tr>
    </w:tbl>
    <w:p w14:paraId="7FB62744" w14:textId="77777777" w:rsidR="001E2023" w:rsidRPr="001E2023" w:rsidRDefault="00EF7953">
      <w:pPr>
        <w:pStyle w:val="ManualHeading2"/>
        <w:rPr>
          <w:noProof/>
        </w:rPr>
      </w:pPr>
      <w:r w:rsidRPr="001E2023">
        <w:rPr>
          <w:noProof/>
        </w:rPr>
        <w:br w:type="page"/>
      </w:r>
      <w:bookmarkStart w:id="69" w:name="_Toc514938059"/>
      <w:bookmarkStart w:id="70" w:name="_Toc520485057"/>
      <w:r w:rsidRPr="001E2023">
        <w:rPr>
          <w:noProof/>
        </w:rPr>
        <w:t>3.3.</w:t>
      </w:r>
      <w:r w:rsidRPr="001E2023">
        <w:rPr>
          <w:noProof/>
        </w:rPr>
        <w:tab/>
        <w:t>Odhadovaný vplyv na príjmy</w:t>
      </w:r>
      <w:bookmarkEnd w:id="69"/>
      <w:bookmarkEnd w:id="70"/>
    </w:p>
    <w:p w14:paraId="0A0D473B" w14:textId="77777777" w:rsidR="00EF7953" w:rsidRPr="001E2023" w:rsidRDefault="00541013" w:rsidP="00E62D94">
      <w:pPr>
        <w:pStyle w:val="ListDash1"/>
        <w:rPr>
          <w:noProof/>
        </w:rPr>
      </w:pPr>
      <w:sdt>
        <w:sdtPr>
          <w:rPr>
            <w:noProof/>
          </w:rPr>
          <w:id w:val="614729018"/>
          <w14:checkbox>
            <w14:checked w14:val="1"/>
            <w14:checkedState w14:val="2612" w14:font="MS Gothic"/>
            <w14:uncheckedState w14:val="2610" w14:font="MS Gothic"/>
          </w14:checkbox>
        </w:sdtPr>
        <w:sdtEndPr/>
        <w:sdtContent>
          <w:r w:rsidR="00E62D94" w:rsidRPr="001E2023">
            <w:rPr>
              <w:rFonts w:ascii="MS Gothic" w:eastAsia="MS Gothic" w:hAnsi="MS Gothic"/>
              <w:noProof/>
            </w:rPr>
            <w:t>☒</w:t>
          </w:r>
        </w:sdtContent>
      </w:sdt>
      <w:r w:rsidR="00B21B48" w:rsidRPr="001E2023">
        <w:rPr>
          <w:noProof/>
        </w:rPr>
        <w:t xml:space="preserve"> Návrh/iniciatíva nemá finančný vplyv na príjmy.</w:t>
      </w:r>
    </w:p>
    <w:p w14:paraId="3A7248B9" w14:textId="77777777" w:rsidR="00EF7953" w:rsidRPr="001E2023" w:rsidRDefault="00EF7953">
      <w:pPr>
        <w:pStyle w:val="ListDash1"/>
        <w:rPr>
          <w:noProof/>
        </w:rPr>
      </w:pPr>
      <w:r w:rsidRPr="001E2023">
        <w:rPr>
          <w:rFonts w:ascii="Wingdings" w:hAnsi="Wingdings"/>
          <w:noProof/>
        </w:rPr>
        <w:t></w:t>
      </w:r>
      <w:r w:rsidRPr="001E2023">
        <w:rPr>
          <w:noProof/>
        </w:rPr>
        <w:tab/>
        <w:t>Návrh/iniciatíva má tento finančný vplyv na príjmy:</w:t>
      </w:r>
    </w:p>
    <w:p w14:paraId="4D5CB414" w14:textId="77777777" w:rsidR="001E2023" w:rsidRPr="001E2023" w:rsidRDefault="00EF7953" w:rsidP="00EF7953">
      <w:pPr>
        <w:pStyle w:val="ListNumberLevel3"/>
        <w:rPr>
          <w:noProof/>
        </w:rPr>
      </w:pPr>
      <w:r w:rsidRPr="001E2023">
        <w:rPr>
          <w:rFonts w:ascii="Wingdings" w:hAnsi="Wingdings"/>
          <w:noProof/>
        </w:rPr>
        <w:t></w:t>
      </w:r>
      <w:r w:rsidRPr="001E2023">
        <w:rPr>
          <w:noProof/>
        </w:rPr>
        <w:tab/>
        <w:t>vplyv na vlastné zdroje</w:t>
      </w:r>
    </w:p>
    <w:p w14:paraId="7875390E" w14:textId="77777777" w:rsidR="00EF7953" w:rsidRPr="001E2023" w:rsidRDefault="00EF7953" w:rsidP="00EF7953">
      <w:pPr>
        <w:pStyle w:val="ListNumberLevel3"/>
        <w:rPr>
          <w:noProof/>
        </w:rPr>
      </w:pPr>
      <w:r w:rsidRPr="001E2023">
        <w:rPr>
          <w:rFonts w:ascii="Wingdings" w:hAnsi="Wingdings"/>
          <w:noProof/>
        </w:rPr>
        <w:t></w:t>
      </w:r>
      <w:r w:rsidRPr="001E2023">
        <w:rPr>
          <w:noProof/>
        </w:rPr>
        <w:tab/>
        <w:t>vplyv na iné príjmy</w:t>
      </w:r>
    </w:p>
    <w:p w14:paraId="441ACD77" w14:textId="77777777" w:rsidR="00EF7953" w:rsidRPr="001E2023" w:rsidRDefault="00EF7953">
      <w:pPr>
        <w:pStyle w:val="ListNumberLevel3"/>
        <w:rPr>
          <w:noProof/>
        </w:rPr>
      </w:pPr>
      <w:r w:rsidRPr="001E2023">
        <w:rPr>
          <w:noProof/>
        </w:rPr>
        <w:t>uveďte, či sú príjmy pripísané rozpočtovým riadkom výdavkov</w:t>
      </w:r>
      <w:r w:rsidRPr="001E2023">
        <w:rPr>
          <w:rFonts w:ascii="Wingdings" w:hAnsi="Wingdings"/>
          <w:noProof/>
        </w:rPr>
        <w:t></w:t>
      </w:r>
      <w:r w:rsidRPr="001E2023">
        <w:rPr>
          <w:noProof/>
        </w:rPr>
        <w:tab/>
      </w:r>
    </w:p>
    <w:p w14:paraId="53491FFA" w14:textId="77777777" w:rsidR="00EF7953" w:rsidRPr="001E2023" w:rsidRDefault="00EF7953" w:rsidP="00015138">
      <w:pPr>
        <w:rPr>
          <w:i/>
          <w:noProof/>
          <w:sz w:val="20"/>
        </w:rPr>
      </w:pPr>
      <w:r w:rsidRPr="001E2023">
        <w:rPr>
          <w:noProof/>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EF7953" w:rsidRPr="001E2023" w14:paraId="7D92678A" w14:textId="77777777" w:rsidTr="4A48B060">
        <w:trPr>
          <w:trHeight w:val="388"/>
        </w:trPr>
        <w:tc>
          <w:tcPr>
            <w:tcW w:w="2144" w:type="dxa"/>
            <w:vMerge w:val="restart"/>
            <w:vAlign w:val="center"/>
          </w:tcPr>
          <w:p w14:paraId="375C9A2E" w14:textId="77777777" w:rsidR="00EF7953" w:rsidRPr="001E2023" w:rsidRDefault="00EF7953">
            <w:pPr>
              <w:spacing w:before="40" w:after="40"/>
              <w:rPr>
                <w:noProof/>
                <w:sz w:val="18"/>
              </w:rPr>
            </w:pPr>
            <w:r w:rsidRPr="001E2023">
              <w:rPr>
                <w:noProof/>
                <w:sz w:val="18"/>
              </w:rPr>
              <w:t>Rozpočtový riadok príjmov:</w:t>
            </w:r>
          </w:p>
        </w:tc>
        <w:tc>
          <w:tcPr>
            <w:tcW w:w="1325" w:type="dxa"/>
            <w:vMerge w:val="restart"/>
            <w:vAlign w:val="center"/>
          </w:tcPr>
          <w:p w14:paraId="7693A0D0" w14:textId="77777777" w:rsidR="00EF7953" w:rsidRPr="001E2023" w:rsidRDefault="00EF7953">
            <w:pPr>
              <w:jc w:val="center"/>
              <w:rPr>
                <w:noProof/>
                <w:sz w:val="18"/>
              </w:rPr>
            </w:pPr>
            <w:r w:rsidRPr="001E2023">
              <w:rPr>
                <w:noProof/>
                <w:sz w:val="18"/>
              </w:rPr>
              <w:t>Rozpočtové prostriedky</w:t>
            </w:r>
            <w:r w:rsidR="001E2023">
              <w:rPr>
                <w:noProof/>
                <w:sz w:val="18"/>
              </w:rPr>
              <w:t xml:space="preserve"> k </w:t>
            </w:r>
            <w:r w:rsidRPr="001E2023">
              <w:rPr>
                <w:noProof/>
                <w:sz w:val="18"/>
              </w:rPr>
              <w:t>dispozícii</w:t>
            </w:r>
            <w:r w:rsidR="001E2023">
              <w:rPr>
                <w:noProof/>
                <w:sz w:val="18"/>
              </w:rPr>
              <w:t xml:space="preserve"> v </w:t>
            </w:r>
            <w:r w:rsidRPr="001E2023">
              <w:rPr>
                <w:noProof/>
                <w:sz w:val="18"/>
              </w:rPr>
              <w:t>bežnom rozpočtovom roku</w:t>
            </w:r>
          </w:p>
        </w:tc>
        <w:tc>
          <w:tcPr>
            <w:tcW w:w="7151" w:type="dxa"/>
            <w:gridSpan w:val="7"/>
            <w:vAlign w:val="center"/>
          </w:tcPr>
          <w:p w14:paraId="188D3E0E" w14:textId="77777777" w:rsidR="00EF7953" w:rsidRPr="001E2023" w:rsidRDefault="00EF7953">
            <w:pPr>
              <w:jc w:val="center"/>
              <w:rPr>
                <w:noProof/>
                <w:sz w:val="18"/>
              </w:rPr>
            </w:pPr>
            <w:r w:rsidRPr="001E2023">
              <w:rPr>
                <w:noProof/>
                <w:sz w:val="18"/>
              </w:rPr>
              <w:t>Vplyv návrhu/iniciatívy</w:t>
            </w:r>
            <w:r w:rsidRPr="001E2023">
              <w:rPr>
                <w:rStyle w:val="Odkaznapoznmkupodiarou"/>
                <w:noProof/>
                <w:sz w:val="18"/>
                <w:szCs w:val="18"/>
              </w:rPr>
              <w:footnoteReference w:id="31"/>
            </w:r>
          </w:p>
        </w:tc>
      </w:tr>
      <w:tr w:rsidR="00EF7953" w:rsidRPr="001E2023" w14:paraId="2A071F66" w14:textId="77777777" w:rsidTr="4A48B060">
        <w:trPr>
          <w:trHeight w:val="388"/>
        </w:trPr>
        <w:tc>
          <w:tcPr>
            <w:tcW w:w="2144" w:type="dxa"/>
            <w:vMerge/>
          </w:tcPr>
          <w:p w14:paraId="749B0BC5" w14:textId="77777777" w:rsidR="00EF7953" w:rsidRPr="001E2023" w:rsidRDefault="00EF7953">
            <w:pPr>
              <w:spacing w:before="40" w:after="40"/>
              <w:rPr>
                <w:noProof/>
                <w:sz w:val="18"/>
              </w:rPr>
            </w:pPr>
          </w:p>
        </w:tc>
        <w:tc>
          <w:tcPr>
            <w:tcW w:w="1325" w:type="dxa"/>
            <w:vMerge/>
          </w:tcPr>
          <w:p w14:paraId="7B1F8178" w14:textId="77777777" w:rsidR="00EF7953" w:rsidRPr="001E2023" w:rsidRDefault="00EF7953">
            <w:pPr>
              <w:spacing w:beforeLines="40" w:before="96" w:afterLines="40" w:after="96"/>
              <w:rPr>
                <w:i/>
                <w:noProof/>
                <w:sz w:val="18"/>
              </w:rPr>
            </w:pPr>
          </w:p>
        </w:tc>
        <w:tc>
          <w:tcPr>
            <w:tcW w:w="1031" w:type="dxa"/>
            <w:vAlign w:val="center"/>
          </w:tcPr>
          <w:p w14:paraId="02B6D102" w14:textId="77777777" w:rsidR="00EF7953" w:rsidRPr="001E2023" w:rsidRDefault="00EF7953">
            <w:pPr>
              <w:jc w:val="center"/>
              <w:rPr>
                <w:noProof/>
                <w:sz w:val="18"/>
              </w:rPr>
            </w:pPr>
            <w:r w:rsidRPr="001E2023">
              <w:rPr>
                <w:noProof/>
                <w:sz w:val="18"/>
              </w:rPr>
              <w:t>Rok</w:t>
            </w:r>
            <w:r w:rsidRPr="001E2023">
              <w:rPr>
                <w:noProof/>
                <w:sz w:val="22"/>
              </w:rPr>
              <w:br/>
            </w:r>
            <w:r w:rsidRPr="001E2023">
              <w:rPr>
                <w:b/>
                <w:noProof/>
                <w:sz w:val="18"/>
              </w:rPr>
              <w:t>N</w:t>
            </w:r>
          </w:p>
        </w:tc>
        <w:tc>
          <w:tcPr>
            <w:tcW w:w="900" w:type="dxa"/>
            <w:vAlign w:val="center"/>
          </w:tcPr>
          <w:p w14:paraId="3A7CE94F" w14:textId="77777777" w:rsidR="00EF7953" w:rsidRPr="001E2023" w:rsidRDefault="00EF7953">
            <w:pPr>
              <w:jc w:val="center"/>
              <w:rPr>
                <w:noProof/>
                <w:sz w:val="18"/>
              </w:rPr>
            </w:pPr>
            <w:r w:rsidRPr="001E2023">
              <w:rPr>
                <w:noProof/>
                <w:sz w:val="18"/>
              </w:rPr>
              <w:t>Rok</w:t>
            </w:r>
            <w:r w:rsidRPr="001E2023">
              <w:rPr>
                <w:noProof/>
                <w:sz w:val="22"/>
              </w:rPr>
              <w:br/>
            </w:r>
            <w:r w:rsidRPr="001E2023">
              <w:rPr>
                <w:b/>
                <w:noProof/>
                <w:sz w:val="18"/>
              </w:rPr>
              <w:t>N + 1</w:t>
            </w:r>
          </w:p>
        </w:tc>
        <w:tc>
          <w:tcPr>
            <w:tcW w:w="900" w:type="dxa"/>
            <w:vAlign w:val="center"/>
          </w:tcPr>
          <w:p w14:paraId="650F3C4A" w14:textId="77777777" w:rsidR="00EF7953" w:rsidRPr="001E2023" w:rsidRDefault="00EF7953">
            <w:pPr>
              <w:jc w:val="center"/>
              <w:rPr>
                <w:noProof/>
                <w:sz w:val="18"/>
              </w:rPr>
            </w:pPr>
            <w:r w:rsidRPr="001E2023">
              <w:rPr>
                <w:noProof/>
                <w:sz w:val="18"/>
              </w:rPr>
              <w:t>Rok</w:t>
            </w:r>
            <w:r w:rsidRPr="001E2023">
              <w:rPr>
                <w:noProof/>
                <w:sz w:val="22"/>
              </w:rPr>
              <w:br/>
            </w:r>
            <w:r w:rsidRPr="001E2023">
              <w:rPr>
                <w:b/>
                <w:noProof/>
                <w:sz w:val="18"/>
              </w:rPr>
              <w:t>N + 2</w:t>
            </w:r>
          </w:p>
        </w:tc>
        <w:tc>
          <w:tcPr>
            <w:tcW w:w="1080" w:type="dxa"/>
            <w:vAlign w:val="center"/>
          </w:tcPr>
          <w:p w14:paraId="1488C365" w14:textId="77777777" w:rsidR="00EF7953" w:rsidRPr="001E2023" w:rsidRDefault="00EF7953">
            <w:pPr>
              <w:jc w:val="center"/>
              <w:rPr>
                <w:noProof/>
                <w:sz w:val="18"/>
              </w:rPr>
            </w:pPr>
            <w:r w:rsidRPr="001E2023">
              <w:rPr>
                <w:noProof/>
                <w:sz w:val="18"/>
              </w:rPr>
              <w:t>Rok</w:t>
            </w:r>
            <w:r w:rsidRPr="001E2023">
              <w:rPr>
                <w:noProof/>
                <w:sz w:val="22"/>
              </w:rPr>
              <w:br/>
            </w:r>
            <w:r w:rsidRPr="001E2023">
              <w:rPr>
                <w:b/>
                <w:noProof/>
                <w:sz w:val="18"/>
              </w:rPr>
              <w:t>N + 3</w:t>
            </w:r>
          </w:p>
        </w:tc>
        <w:tc>
          <w:tcPr>
            <w:tcW w:w="3240" w:type="dxa"/>
            <w:gridSpan w:val="3"/>
            <w:vAlign w:val="center"/>
          </w:tcPr>
          <w:p w14:paraId="5DBCAB5E" w14:textId="77777777" w:rsidR="00EF7953" w:rsidRPr="001E2023" w:rsidRDefault="00EF7953">
            <w:pPr>
              <w:jc w:val="center"/>
              <w:rPr>
                <w:b/>
                <w:noProof/>
                <w:sz w:val="18"/>
              </w:rPr>
            </w:pPr>
            <w:r w:rsidRPr="001E2023">
              <w:rPr>
                <w:noProof/>
                <w:sz w:val="18"/>
              </w:rPr>
              <w:t>Uveďte všetky roky, počas ktorých vplyv trvá (pozri bod 1.6)</w:t>
            </w:r>
          </w:p>
        </w:tc>
      </w:tr>
      <w:tr w:rsidR="00EF7953" w:rsidRPr="001E2023" w14:paraId="3E92B1FD" w14:textId="77777777" w:rsidTr="4A48B060">
        <w:trPr>
          <w:trHeight w:val="388"/>
        </w:trPr>
        <w:tc>
          <w:tcPr>
            <w:tcW w:w="2144" w:type="dxa"/>
            <w:vAlign w:val="center"/>
          </w:tcPr>
          <w:p w14:paraId="6E4C5542" w14:textId="77777777" w:rsidR="00EF7953" w:rsidRPr="001E2023" w:rsidRDefault="00EF7953">
            <w:pPr>
              <w:spacing w:before="40" w:after="40"/>
              <w:rPr>
                <w:noProof/>
                <w:sz w:val="18"/>
              </w:rPr>
            </w:pPr>
            <w:r w:rsidRPr="001E2023">
              <w:rPr>
                <w:noProof/>
                <w:sz w:val="18"/>
              </w:rPr>
              <w:t>Článok ………….</w:t>
            </w:r>
          </w:p>
        </w:tc>
        <w:tc>
          <w:tcPr>
            <w:tcW w:w="1325" w:type="dxa"/>
          </w:tcPr>
          <w:p w14:paraId="016FB094" w14:textId="77777777" w:rsidR="00EF7953" w:rsidRPr="001E2023" w:rsidRDefault="00EF7953">
            <w:pPr>
              <w:spacing w:beforeLines="40" w:before="96" w:afterLines="40" w:after="96"/>
              <w:jc w:val="center"/>
              <w:rPr>
                <w:i/>
                <w:noProof/>
                <w:sz w:val="18"/>
              </w:rPr>
            </w:pPr>
          </w:p>
        </w:tc>
        <w:tc>
          <w:tcPr>
            <w:tcW w:w="1031" w:type="dxa"/>
          </w:tcPr>
          <w:p w14:paraId="34D5CAF3" w14:textId="77777777" w:rsidR="00EF7953" w:rsidRPr="001E2023" w:rsidRDefault="00EF7953">
            <w:pPr>
              <w:spacing w:beforeLines="40" w:before="96" w:afterLines="40" w:after="96"/>
              <w:jc w:val="center"/>
              <w:rPr>
                <w:noProof/>
                <w:sz w:val="18"/>
              </w:rPr>
            </w:pPr>
          </w:p>
        </w:tc>
        <w:tc>
          <w:tcPr>
            <w:tcW w:w="900" w:type="dxa"/>
          </w:tcPr>
          <w:p w14:paraId="08D79410" w14:textId="77777777" w:rsidR="00EF7953" w:rsidRPr="001E2023" w:rsidRDefault="00EF7953">
            <w:pPr>
              <w:spacing w:beforeLines="40" w:before="96" w:afterLines="40" w:after="96"/>
              <w:jc w:val="center"/>
              <w:rPr>
                <w:noProof/>
                <w:sz w:val="18"/>
              </w:rPr>
            </w:pPr>
          </w:p>
        </w:tc>
        <w:tc>
          <w:tcPr>
            <w:tcW w:w="900" w:type="dxa"/>
          </w:tcPr>
          <w:p w14:paraId="5157E93D" w14:textId="77777777" w:rsidR="00EF7953" w:rsidRPr="001E2023" w:rsidRDefault="00EF7953">
            <w:pPr>
              <w:spacing w:beforeLines="40" w:before="96" w:afterLines="40" w:after="96"/>
              <w:jc w:val="center"/>
              <w:rPr>
                <w:noProof/>
                <w:sz w:val="18"/>
              </w:rPr>
            </w:pPr>
          </w:p>
        </w:tc>
        <w:tc>
          <w:tcPr>
            <w:tcW w:w="1080" w:type="dxa"/>
          </w:tcPr>
          <w:p w14:paraId="349BACEE" w14:textId="77777777" w:rsidR="00EF7953" w:rsidRPr="001E2023" w:rsidRDefault="00EF7953">
            <w:pPr>
              <w:spacing w:beforeLines="40" w:before="96" w:afterLines="40" w:after="96"/>
              <w:jc w:val="center"/>
              <w:rPr>
                <w:noProof/>
                <w:sz w:val="18"/>
              </w:rPr>
            </w:pPr>
          </w:p>
        </w:tc>
        <w:tc>
          <w:tcPr>
            <w:tcW w:w="1080" w:type="dxa"/>
          </w:tcPr>
          <w:p w14:paraId="5345E77F" w14:textId="77777777" w:rsidR="00EF7953" w:rsidRPr="001E2023" w:rsidRDefault="00EF7953">
            <w:pPr>
              <w:spacing w:beforeLines="40" w:before="96" w:afterLines="40" w:after="96"/>
              <w:jc w:val="center"/>
              <w:rPr>
                <w:noProof/>
                <w:sz w:val="18"/>
              </w:rPr>
            </w:pPr>
          </w:p>
        </w:tc>
        <w:tc>
          <w:tcPr>
            <w:tcW w:w="1080" w:type="dxa"/>
          </w:tcPr>
          <w:p w14:paraId="3BCEE674" w14:textId="77777777" w:rsidR="00EF7953" w:rsidRPr="001E2023" w:rsidRDefault="00EF7953">
            <w:pPr>
              <w:spacing w:beforeLines="40" w:before="96" w:afterLines="40" w:after="96"/>
              <w:jc w:val="center"/>
              <w:rPr>
                <w:noProof/>
                <w:sz w:val="18"/>
              </w:rPr>
            </w:pPr>
          </w:p>
        </w:tc>
        <w:tc>
          <w:tcPr>
            <w:tcW w:w="1080" w:type="dxa"/>
          </w:tcPr>
          <w:p w14:paraId="0B6BB886" w14:textId="77777777" w:rsidR="00EF7953" w:rsidRPr="001E2023" w:rsidRDefault="00EF7953">
            <w:pPr>
              <w:spacing w:beforeLines="40" w:before="96" w:afterLines="40" w:after="96"/>
              <w:jc w:val="center"/>
              <w:rPr>
                <w:noProof/>
                <w:sz w:val="18"/>
              </w:rPr>
            </w:pPr>
          </w:p>
        </w:tc>
      </w:tr>
    </w:tbl>
    <w:p w14:paraId="1CC3116D" w14:textId="77777777" w:rsidR="00EF7953" w:rsidRPr="001E2023" w:rsidRDefault="00EF7953">
      <w:pPr>
        <w:pStyle w:val="Text1"/>
        <w:rPr>
          <w:noProof/>
          <w:sz w:val="20"/>
        </w:rPr>
      </w:pPr>
      <w:r w:rsidRPr="001E2023">
        <w:rPr>
          <w:noProof/>
          <w:sz w:val="20"/>
        </w:rPr>
        <w:t>V prípade pripísaných príjmov uveďte príslušné rozpočtové riadky výdavkov.</w:t>
      </w:r>
    </w:p>
    <w:p w14:paraId="02804643" w14:textId="77777777" w:rsidR="00EF7953" w:rsidRPr="001E2023" w:rsidRDefault="00EF7953" w:rsidP="005711FB">
      <w:pPr>
        <w:pStyle w:val="Text1"/>
        <w:rPr>
          <w:noProof/>
        </w:rPr>
      </w:pPr>
      <w:r w:rsidRPr="001E2023">
        <w:rPr>
          <w:noProof/>
          <w:sz w:val="20"/>
        </w:rPr>
        <w:t>Ďalšie poznámky (napr. spôsob/vzorec použitý na výpočet vplyvu na príjmy alebo akékoľvek ďalšie informácie).</w:t>
      </w:r>
    </w:p>
    <w:sectPr w:rsidR="00EF7953" w:rsidRPr="001E2023" w:rsidSect="003F317C">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4A58" w14:textId="77777777" w:rsidR="00891D78" w:rsidRDefault="00891D78" w:rsidP="00EF7953">
      <w:pPr>
        <w:spacing w:before="0" w:after="0"/>
      </w:pPr>
      <w:r>
        <w:separator/>
      </w:r>
    </w:p>
  </w:endnote>
  <w:endnote w:type="continuationSeparator" w:id="0">
    <w:p w14:paraId="50E1BA5C" w14:textId="77777777" w:rsidR="00891D78" w:rsidRDefault="00891D78" w:rsidP="00EF7953">
      <w:pPr>
        <w:spacing w:before="0" w:after="0"/>
      </w:pPr>
      <w:r>
        <w:continuationSeparator/>
      </w:r>
    </w:p>
  </w:endnote>
  <w:endnote w:type="continuationNotice" w:id="1">
    <w:p w14:paraId="5418ED4E" w14:textId="77777777" w:rsidR="00891D78" w:rsidRDefault="00891D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245C" w14:textId="77777777" w:rsidR="003F317C" w:rsidRPr="003F317C" w:rsidRDefault="003F317C" w:rsidP="003F317C">
    <w:pPr>
      <w:pStyle w:val="Pta"/>
      <w:rPr>
        <w:rFonts w:ascii="Arial" w:hAnsi="Arial" w:cs="Arial"/>
        <w:b/>
        <w:sz w:val="48"/>
      </w:rPr>
    </w:pPr>
    <w:r w:rsidRPr="003F317C">
      <w:rPr>
        <w:rFonts w:ascii="Arial" w:hAnsi="Arial" w:cs="Arial"/>
        <w:b/>
        <w:sz w:val="48"/>
      </w:rPr>
      <w:t>SK</w:t>
    </w:r>
    <w:r w:rsidRPr="003F317C">
      <w:rPr>
        <w:rFonts w:ascii="Arial" w:hAnsi="Arial" w:cs="Arial"/>
        <w:b/>
        <w:sz w:val="48"/>
      </w:rPr>
      <w:tab/>
    </w:r>
    <w:r w:rsidRPr="003F317C">
      <w:rPr>
        <w:rFonts w:ascii="Arial" w:hAnsi="Arial" w:cs="Arial"/>
        <w:b/>
        <w:sz w:val="48"/>
      </w:rPr>
      <w:tab/>
    </w:r>
    <w:r w:rsidRPr="003F317C">
      <w:tab/>
    </w:r>
    <w:r w:rsidRPr="003F317C">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89D2" w14:textId="77777777" w:rsidR="003F317C" w:rsidRPr="003F317C" w:rsidRDefault="003F317C" w:rsidP="003F317C">
    <w:pPr>
      <w:pStyle w:val="Pta"/>
      <w:rPr>
        <w:rFonts w:ascii="Arial" w:hAnsi="Arial" w:cs="Arial"/>
        <w:b/>
        <w:sz w:val="48"/>
      </w:rPr>
    </w:pPr>
    <w:r w:rsidRPr="003F317C">
      <w:rPr>
        <w:rFonts w:ascii="Arial" w:hAnsi="Arial" w:cs="Arial"/>
        <w:b/>
        <w:sz w:val="48"/>
      </w:rPr>
      <w:t>SK</w:t>
    </w:r>
    <w:r w:rsidRPr="003F317C">
      <w:rPr>
        <w:rFonts w:ascii="Arial" w:hAnsi="Arial" w:cs="Arial"/>
        <w:b/>
        <w:sz w:val="48"/>
      </w:rPr>
      <w:tab/>
    </w:r>
    <w:r w:rsidRPr="003F317C">
      <w:rPr>
        <w:rFonts w:ascii="Arial" w:hAnsi="Arial" w:cs="Arial"/>
        <w:b/>
        <w:sz w:val="48"/>
      </w:rPr>
      <w:tab/>
    </w:r>
    <w:r w:rsidRPr="003F317C">
      <w:tab/>
    </w:r>
    <w:r w:rsidRPr="003F317C">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7A7D" w14:textId="77777777" w:rsidR="003F317C" w:rsidRDefault="003F317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C90E" w14:textId="77777777" w:rsidR="003F317C" w:rsidRPr="003F317C" w:rsidRDefault="003F317C" w:rsidP="003F317C">
    <w:pPr>
      <w:pStyle w:val="Pta"/>
      <w:rPr>
        <w:rFonts w:ascii="Arial" w:hAnsi="Arial" w:cs="Arial"/>
        <w:b/>
        <w:sz w:val="48"/>
      </w:rPr>
    </w:pPr>
    <w:r w:rsidRPr="003F317C">
      <w:rPr>
        <w:rFonts w:ascii="Arial" w:hAnsi="Arial" w:cs="Arial"/>
        <w:b/>
        <w:sz w:val="48"/>
      </w:rPr>
      <w:t>SK</w:t>
    </w:r>
    <w:r w:rsidRPr="003F317C">
      <w:rPr>
        <w:rFonts w:ascii="Arial" w:hAnsi="Arial" w:cs="Arial"/>
        <w:b/>
        <w:sz w:val="48"/>
      </w:rPr>
      <w:tab/>
    </w:r>
    <w:r>
      <w:fldChar w:fldCharType="begin"/>
    </w:r>
    <w:r>
      <w:instrText xml:space="preserve"> PAGE  \* MERGEFORMAT </w:instrText>
    </w:r>
    <w:r>
      <w:fldChar w:fldCharType="separate"/>
    </w:r>
    <w:r w:rsidR="00B1732E">
      <w:rPr>
        <w:noProof/>
      </w:rPr>
      <w:t>16</w:t>
    </w:r>
    <w:r>
      <w:fldChar w:fldCharType="end"/>
    </w:r>
    <w:r>
      <w:tab/>
    </w:r>
    <w:r w:rsidRPr="003F317C">
      <w:tab/>
    </w:r>
    <w:r w:rsidRPr="003F317C">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09B1" w14:textId="77777777" w:rsidR="003F317C" w:rsidRDefault="003F317C" w:rsidP="003F317C">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4C110" w14:textId="77777777" w:rsidR="003F317C" w:rsidRPr="003F317C" w:rsidRDefault="003F317C" w:rsidP="003F317C">
    <w:pPr>
      <w:pStyle w:val="FooterLandscape"/>
      <w:rPr>
        <w:rFonts w:ascii="Arial" w:hAnsi="Arial" w:cs="Arial"/>
        <w:b/>
        <w:sz w:val="48"/>
      </w:rPr>
    </w:pPr>
    <w:r w:rsidRPr="003F317C">
      <w:rPr>
        <w:rFonts w:ascii="Arial" w:hAnsi="Arial" w:cs="Arial"/>
        <w:b/>
        <w:sz w:val="48"/>
      </w:rPr>
      <w:t>SK</w:t>
    </w:r>
    <w:r w:rsidRPr="003F317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F317C">
      <w:tab/>
    </w:r>
    <w:r w:rsidRPr="003F317C">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B7AB" w14:textId="77777777" w:rsidR="003F317C" w:rsidRPr="003F317C" w:rsidRDefault="003F317C" w:rsidP="003F317C">
    <w:pPr>
      <w:pStyle w:val="Pta"/>
      <w:rPr>
        <w:rFonts w:ascii="Arial" w:hAnsi="Arial" w:cs="Arial"/>
        <w:b/>
        <w:sz w:val="48"/>
      </w:rPr>
    </w:pPr>
    <w:r w:rsidRPr="003F317C">
      <w:rPr>
        <w:rFonts w:ascii="Arial" w:hAnsi="Arial" w:cs="Arial"/>
        <w:b/>
        <w:sz w:val="48"/>
      </w:rPr>
      <w:t>SK</w:t>
    </w:r>
    <w:r w:rsidRPr="003F317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3F317C">
      <w:tab/>
    </w:r>
    <w:r w:rsidRPr="003F317C">
      <w:rPr>
        <w:rFonts w:ascii="Arial" w:hAnsi="Arial" w:cs="Arial"/>
        <w:b/>
        <w:sz w:val="48"/>
      </w:rPr>
      <w:t>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E4C5" w14:textId="77777777" w:rsidR="00891D78" w:rsidRDefault="00891D78" w:rsidP="00EF7953">
      <w:pPr>
        <w:spacing w:before="0" w:after="0"/>
      </w:pPr>
      <w:r>
        <w:separator/>
      </w:r>
    </w:p>
  </w:footnote>
  <w:footnote w:type="continuationSeparator" w:id="0">
    <w:p w14:paraId="3E6768D2" w14:textId="77777777" w:rsidR="00891D78" w:rsidRDefault="00891D78" w:rsidP="00EF7953">
      <w:pPr>
        <w:spacing w:before="0" w:after="0"/>
      </w:pPr>
      <w:r>
        <w:continuationSeparator/>
      </w:r>
    </w:p>
  </w:footnote>
  <w:footnote w:type="continuationNotice" w:id="1">
    <w:p w14:paraId="7BC38781" w14:textId="77777777" w:rsidR="00891D78" w:rsidRDefault="00891D78">
      <w:pPr>
        <w:spacing w:before="0" w:after="0"/>
      </w:pPr>
    </w:p>
  </w:footnote>
  <w:footnote w:id="2">
    <w:p w14:paraId="05B5A546" w14:textId="77777777" w:rsidR="004901E3" w:rsidRPr="001E2023" w:rsidRDefault="004901E3" w:rsidP="004901E3">
      <w:pPr>
        <w:pStyle w:val="Textpoznmkypodiarou"/>
      </w:pPr>
      <w:r w:rsidRPr="001E2023">
        <w:rPr>
          <w:rStyle w:val="Odkaznapoznmkupodiarou"/>
        </w:rPr>
        <w:footnoteRef/>
      </w:r>
      <w:r w:rsidRPr="001E2023">
        <w:tab/>
        <w:t xml:space="preserve">Ú. v. EÚ L 328, 22.12.2022, s. 1 – 58 ELI: http://data.europa.eu/eli/dir/2022/2523/oj. </w:t>
      </w:r>
      <w:r w:rsidR="00BC7AA4" w:rsidRPr="001E2023">
        <w:fldChar w:fldCharType="begin"/>
      </w:r>
      <w:r w:rsidR="00BC7AA4" w:rsidRPr="001E2023">
        <w:instrText>http://data.europa.eu/eli/dir/2022/2523/oj"</w:instrText>
      </w:r>
      <w:r w:rsidR="00BC7AA4" w:rsidRPr="001E2023">
        <w:fldChar w:fldCharType="separate"/>
      </w:r>
      <w:r w:rsidRPr="001E2023">
        <w:rPr>
          <w:rStyle w:val="Hypertextovprepojenie"/>
        </w:rPr>
        <w:t>http://data.europa.eu/eli/dir/2022/2523/oj</w:t>
      </w:r>
      <w:r w:rsidR="00BC7AA4" w:rsidRPr="001E2023">
        <w:rPr>
          <w:rStyle w:val="Hypertextovprepojenie"/>
        </w:rPr>
        <w:fldChar w:fldCharType="end"/>
      </w:r>
    </w:p>
  </w:footnote>
  <w:footnote w:id="3">
    <w:p w14:paraId="24922AAD" w14:textId="77777777" w:rsidR="004901E3" w:rsidRPr="001E2023" w:rsidRDefault="004901E3" w:rsidP="004901E3">
      <w:pPr>
        <w:pStyle w:val="Textpoznmkypodiarou"/>
      </w:pPr>
      <w:r w:rsidRPr="001E2023">
        <w:rPr>
          <w:rStyle w:val="Odkaznapoznmkupodiarou"/>
        </w:rPr>
        <w:footnoteRef/>
      </w:r>
      <w:r w:rsidRPr="001E2023">
        <w:tab/>
        <w:t xml:space="preserve">OECD, </w:t>
      </w:r>
      <w:r w:rsidRPr="001E2023">
        <w:rPr>
          <w:i/>
          <w:iCs/>
        </w:rPr>
        <w:t>Tax Challenges Arising from the Digitalisation of the Economy – GloBE Information Return (Pillar Two)</w:t>
      </w:r>
      <w:r w:rsidRPr="001E2023">
        <w:t xml:space="preserve"> [Daňové výzvy vyplývajúce z digitalizácie hospodárstva – oznámenie s informáciami na určenie pravidiel GloBE (druhý pilier)], OECD Publishing, Paríž, 2023, https://doi.org/10.1787/91a49ec3-en.</w:t>
      </w:r>
    </w:p>
  </w:footnote>
  <w:footnote w:id="4">
    <w:p w14:paraId="167BE3D3" w14:textId="77777777" w:rsidR="004901E3" w:rsidRPr="001E2023" w:rsidRDefault="004901E3" w:rsidP="004901E3">
      <w:pPr>
        <w:pStyle w:val="Textpoznmkypodiarou"/>
      </w:pPr>
      <w:r w:rsidRPr="001E2023">
        <w:rPr>
          <w:rStyle w:val="Odkaznapoznmkupodiarou"/>
        </w:rPr>
        <w:footnoteRef/>
      </w:r>
      <w:r w:rsidRPr="001E2023">
        <w:tab/>
        <w:t>Nariadenie Európskeho parlamentu a Rady (EÚ) 2016/679 z 27. apríla 2016 o ochrane fyzických osôb pri spracúvaní osobných údajov a o voľnom pohybe takýchto údajov, ktorým sa zrušuje smernica 95/46/ES (všeobecné nariadenie o ochrane údajov) (Ú. v. EÚ L 119, 4.5.2016, s. 1 – 88, ELI: http://data.europa.eu/eli/reg/2016/679/oj).</w:t>
      </w:r>
    </w:p>
  </w:footnote>
  <w:footnote w:id="5">
    <w:p w14:paraId="29DFD93D" w14:textId="77777777" w:rsidR="004901E3" w:rsidRPr="001E2023" w:rsidRDefault="004901E3" w:rsidP="004901E3">
      <w:pPr>
        <w:pStyle w:val="Textpoznmkypodiarou"/>
      </w:pPr>
      <w:r w:rsidRPr="001E2023">
        <w:rPr>
          <w:rStyle w:val="Odkaznapoznmkupodiarou"/>
        </w:rPr>
        <w:footnoteRef/>
      </w:r>
      <w:r w:rsidRPr="001E2023">
        <w:tab/>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s. 39 – 98, ELI: http://data.europa.eu/eli/reg/2018/1725/oj).</w:t>
      </w:r>
    </w:p>
  </w:footnote>
  <w:footnote w:id="6">
    <w:p w14:paraId="0B9DCCDC" w14:textId="77777777" w:rsidR="004901E3" w:rsidRPr="001E2023" w:rsidRDefault="004901E3" w:rsidP="004901E3">
      <w:pPr>
        <w:pStyle w:val="Textpoznmkypodiarou"/>
      </w:pPr>
      <w:r w:rsidRPr="001E2023">
        <w:rPr>
          <w:rStyle w:val="Odkaznapoznmkupodiarou"/>
        </w:rPr>
        <w:footnoteRef/>
      </w:r>
      <w:r w:rsidRPr="001E2023">
        <w:tab/>
        <w:t>COM(2023) 168 final.</w:t>
      </w:r>
    </w:p>
  </w:footnote>
  <w:footnote w:id="7">
    <w:p w14:paraId="3FC8C347" w14:textId="77777777" w:rsidR="00EF7953" w:rsidRPr="001E2023" w:rsidRDefault="00EF7953">
      <w:pPr>
        <w:pStyle w:val="Textpoznmkypodiarou"/>
      </w:pPr>
      <w:r w:rsidRPr="001E2023">
        <w:rPr>
          <w:rStyle w:val="Odkaznapoznmkupodiarou"/>
        </w:rPr>
        <w:footnoteRef/>
      </w:r>
      <w:r w:rsidRPr="001E2023">
        <w:tab/>
        <w:t>Ú. v. EÚ C , , s. .</w:t>
      </w:r>
    </w:p>
  </w:footnote>
  <w:footnote w:id="8">
    <w:p w14:paraId="13F84CD8" w14:textId="77777777" w:rsidR="00EF7953" w:rsidRPr="001E2023" w:rsidRDefault="00EF7953">
      <w:pPr>
        <w:pStyle w:val="Textpoznmkypodiarou"/>
      </w:pPr>
      <w:r w:rsidRPr="001E2023">
        <w:rPr>
          <w:rStyle w:val="Odkaznapoznmkupodiarou"/>
        </w:rPr>
        <w:footnoteRef/>
      </w:r>
      <w:r w:rsidRPr="001E2023">
        <w:tab/>
        <w:t>Ú. v. EÚ C , , s. .</w:t>
      </w:r>
    </w:p>
  </w:footnote>
  <w:footnote w:id="9">
    <w:p w14:paraId="37A8A9F9" w14:textId="77777777" w:rsidR="00C43A66" w:rsidRPr="001E2023" w:rsidRDefault="00C43A66" w:rsidP="00C43A66">
      <w:pPr>
        <w:pStyle w:val="Textpoznmkypodiarou"/>
        <w:rPr>
          <w:highlight w:val="yellow"/>
        </w:rPr>
      </w:pPr>
      <w:r w:rsidRPr="001E2023">
        <w:rPr>
          <w:rStyle w:val="Odkaznapoznmkupodiarou"/>
        </w:rPr>
        <w:footnoteRef/>
      </w:r>
      <w:r w:rsidRPr="001E2023">
        <w:tab/>
        <w:t xml:space="preserve">Smernica Rady (EÚ) 2022/2523 zo 14. decembra 2022 o zabezpečení globálnej minimálnej úrovne zdanenia nadnárodných skupín podnikov a veľkých vnútroštátnych skupín v Únii (Ú. v. EÚ L 328, 22.12.2022, s. 1 – 58 ELI: </w:t>
      </w:r>
      <w:hyperlink r:id="rId1" w:history="1">
        <w:r w:rsidRPr="001E2023">
          <w:rPr>
            <w:rStyle w:val="Hypertextovprepojenie"/>
          </w:rPr>
          <w:t>http://data.europa.eu/eli/dir/2022/2523/oj</w:t>
        </w:r>
      </w:hyperlink>
      <w:r w:rsidRPr="001E2023">
        <w:t xml:space="preserve">). </w:t>
      </w:r>
    </w:p>
  </w:footnote>
  <w:footnote w:id="10">
    <w:p w14:paraId="5C8D9570" w14:textId="77777777" w:rsidR="00236628" w:rsidRPr="001E2023" w:rsidRDefault="00236628">
      <w:pPr>
        <w:pStyle w:val="Textpoznmkypodiarou"/>
      </w:pPr>
      <w:r w:rsidRPr="001E2023">
        <w:rPr>
          <w:rStyle w:val="Odkaznapoznmkupodiarou"/>
        </w:rPr>
        <w:footnoteRef/>
      </w:r>
      <w:r w:rsidRPr="001E2023">
        <w:tab/>
        <w:t>Smernica Rady 2011/16/EÚ z 15. februára 2011 o administratívnej spolupráci v oblasti daní a zrušení smernice 77/799/EHS (Ú. v. EÚ L 64, 11.3.2011, s. 1, ELI: http://data.europa.eu/eli/dir/2011/16/oj).</w:t>
      </w:r>
    </w:p>
  </w:footnote>
  <w:footnote w:id="11">
    <w:p w14:paraId="3EAADDAD" w14:textId="77777777" w:rsidR="00894509" w:rsidRPr="001E2023" w:rsidRDefault="00894509">
      <w:pPr>
        <w:pStyle w:val="Textpoznmkypodiarou"/>
        <w:rPr>
          <w:spacing w:val="-4"/>
        </w:rPr>
      </w:pPr>
      <w:r w:rsidRPr="001E2023">
        <w:rPr>
          <w:rStyle w:val="Odkaznapoznmkupodiarou"/>
        </w:rPr>
        <w:footnoteRef/>
      </w:r>
      <w:r w:rsidRPr="001E2023">
        <w:tab/>
      </w:r>
      <w:r w:rsidRPr="001E2023">
        <w:rPr>
          <w:spacing w:val="-4"/>
        </w:rPr>
        <w:t xml:space="preserve">OECD, </w:t>
      </w:r>
      <w:r w:rsidRPr="001E2023">
        <w:rPr>
          <w:i/>
          <w:iCs/>
          <w:spacing w:val="-4"/>
        </w:rPr>
        <w:t>Tax Challenges Arising from Digitalisation of the Economy – Global Anti-Base Erosion Model Rules (Pillar Two): Inclusive Framework on BEPS, OECD/G20 Base Erosion and Profit Shifting Project</w:t>
      </w:r>
      <w:r w:rsidRPr="001E2023">
        <w:rPr>
          <w:spacing w:val="-4"/>
        </w:rPr>
        <w:t xml:space="preserve"> [Daňové výzvy vyplývajúce z digitalizácie hospodárstva – globálne modelové pravidlá proti narúšaniu základu dane (druhý pilier): inkluzívny rámec pre boj proti BEPS, projekt OECD/G20 zameraný na narúšanie základu dane a presun ziskov], OECD Publishing, Paríž, 2021, https://doi.org/10.1787/782bac33-en.</w:t>
      </w:r>
    </w:p>
  </w:footnote>
  <w:footnote w:id="12">
    <w:p w14:paraId="3C071695" w14:textId="77777777" w:rsidR="005F3E55" w:rsidRPr="001E2023" w:rsidRDefault="005F3E55">
      <w:pPr>
        <w:pStyle w:val="Textpoznmkypodiarou"/>
      </w:pPr>
      <w:r w:rsidRPr="001E2023">
        <w:rPr>
          <w:rStyle w:val="Odkaznapoznmkupodiarou"/>
        </w:rPr>
        <w:footnoteRef/>
      </w:r>
      <w:r w:rsidRPr="001E2023">
        <w:tab/>
        <w:t xml:space="preserve">OECD, </w:t>
      </w:r>
      <w:r w:rsidRPr="001E2023">
        <w:rPr>
          <w:i/>
          <w:iCs/>
        </w:rPr>
        <w:t>Tax Challenges Arising from the Digitalisation of the Economy – GloBE Information Return (Pillar Two)</w:t>
      </w:r>
      <w:r w:rsidRPr="001E2023">
        <w:t xml:space="preserve"> [Daňové výzvy vyplývajúce z digitalizácie hospodárstva – oznámenie s informáciami na určenie pravidiel GloBE (druhý pilier)], OECD Publishing, Paríž, 2023, https://doi.org/10.1787/91a49ec3-en.</w:t>
      </w:r>
    </w:p>
  </w:footnote>
  <w:footnote w:id="13">
    <w:p w14:paraId="76FA18B5" w14:textId="77777777" w:rsidR="00AE2132" w:rsidRPr="001E2023" w:rsidRDefault="00AE2132">
      <w:pPr>
        <w:pStyle w:val="Textpoznmkypodiarou"/>
      </w:pPr>
      <w:r w:rsidRPr="001E2023">
        <w:rPr>
          <w:rStyle w:val="Odkaznapoznmkupodiarou"/>
        </w:rPr>
        <w:footnoteRef/>
      </w:r>
      <w:r w:rsidRPr="001E2023">
        <w:tab/>
        <w:t>Tamže.</w:t>
      </w:r>
    </w:p>
  </w:footnote>
  <w:footnote w:id="14">
    <w:p w14:paraId="7392DC00" w14:textId="77777777" w:rsidR="00567E7F" w:rsidRPr="001E2023" w:rsidRDefault="00567E7F">
      <w:pPr>
        <w:pStyle w:val="Textpoznmkypodiarou"/>
      </w:pPr>
      <w:r w:rsidRPr="001E2023">
        <w:rPr>
          <w:rStyle w:val="Odkaznapoznmkupodiarou"/>
        </w:rPr>
        <w:footnoteRef/>
      </w:r>
      <w:r w:rsidRPr="001E2023">
        <w:tab/>
        <w:t>Ú. v. EÚ L 123, 12.5.2016, s. 1., ELI: https://eur-lex.europa.eu/legal-content/SK/TXT/?uri=CELEX:32016Q0512(01)&amp;qid=1657269706143.</w:t>
      </w:r>
    </w:p>
  </w:footnote>
  <w:footnote w:id="15">
    <w:p w14:paraId="640EDCC4" w14:textId="77777777" w:rsidR="00EF7953" w:rsidRPr="001E2023" w:rsidRDefault="00EF7953">
      <w:pPr>
        <w:pStyle w:val="Textpoznmkypodiarou"/>
        <w:rPr>
          <w:szCs w:val="24"/>
        </w:rPr>
      </w:pPr>
      <w:r w:rsidRPr="001E2023">
        <w:rPr>
          <w:rStyle w:val="Odkaznapoznmkupodiarou"/>
        </w:rPr>
        <w:footnoteRef/>
      </w:r>
      <w:r w:rsidRPr="001E2023">
        <w:tab/>
        <w:t>Podľa článku 58 ods. 2 písm. a) alebo b) nariadenia o rozpočtových pravidlách.</w:t>
      </w:r>
    </w:p>
  </w:footnote>
  <w:footnote w:id="16">
    <w:p w14:paraId="29383348" w14:textId="77777777" w:rsidR="00AA6E07" w:rsidRPr="001E2023" w:rsidRDefault="00AA6E07">
      <w:pPr>
        <w:pStyle w:val="Textpoznmkypodiarou"/>
      </w:pPr>
      <w:r w:rsidRPr="001E2023">
        <w:rPr>
          <w:rStyle w:val="Odkaznapoznmkupodiarou"/>
        </w:rPr>
        <w:footnoteRef/>
      </w:r>
      <w:r w:rsidRPr="001E2023">
        <w:tab/>
        <w:t>Nariadenie Európskeho parlamentu a Rady (ES) č. 1073/1999 z 25. mája 1999 o vyšetrovaniach vykonávaných Európskym úradom pre boj proti podvodom (OLAF) (Ú. v. ES L 136, 31.5.1999, s. 1).</w:t>
      </w:r>
    </w:p>
  </w:footnote>
  <w:footnote w:id="17">
    <w:p w14:paraId="6C141018" w14:textId="77777777" w:rsidR="009335ED" w:rsidRPr="001E2023" w:rsidRDefault="009335ED">
      <w:pPr>
        <w:pStyle w:val="Textpoznmkypodiarou"/>
      </w:pPr>
      <w:r w:rsidRPr="001E2023">
        <w:rPr>
          <w:rStyle w:val="Odkaznapoznmkupodiarou"/>
        </w:rPr>
        <w:footnoteRef/>
      </w:r>
      <w:r w:rsidRPr="001E2023">
        <w:tab/>
        <w:t>Nariadenie Rady (Euratom, ES) č. 2185/96 z 11. novembra 1996 o kontrolách a inšpekciách na mieste, vykonávaných Komisiou s cieľom ochrany finančných záujmov Európskych spoločenstiev pred spreneverou a inými podvodmi (Ú. v. ES L 292, 15.11.1996, s. 2).</w:t>
      </w:r>
    </w:p>
  </w:footnote>
  <w:footnote w:id="18">
    <w:p w14:paraId="58BA58BC" w14:textId="77777777" w:rsidR="00EF7953" w:rsidRPr="001E2023" w:rsidRDefault="00EF7953">
      <w:pPr>
        <w:pStyle w:val="Textpoznmkypodiarou"/>
        <w:rPr>
          <w:szCs w:val="24"/>
        </w:rPr>
      </w:pPr>
      <w:r w:rsidRPr="001E2023">
        <w:rPr>
          <w:rStyle w:val="Odkaznapoznmkupodiarou"/>
        </w:rPr>
        <w:footnoteRef/>
      </w:r>
      <w:r w:rsidRPr="001E2023">
        <w:tab/>
        <w:t>DRP = diferencované rozpočtové prostriedky / NRP = nediferencované rozpočtové prostriedky.</w:t>
      </w:r>
    </w:p>
  </w:footnote>
  <w:footnote w:id="19">
    <w:p w14:paraId="7FEB1369" w14:textId="77777777" w:rsidR="00EF7953" w:rsidRPr="001E2023" w:rsidRDefault="00EF7953">
      <w:pPr>
        <w:pStyle w:val="Textpoznmkypodiarou"/>
        <w:rPr>
          <w:szCs w:val="24"/>
        </w:rPr>
      </w:pPr>
      <w:r w:rsidRPr="001E2023">
        <w:rPr>
          <w:rStyle w:val="Odkaznapoznmkupodiarou"/>
        </w:rPr>
        <w:footnoteRef/>
      </w:r>
      <w:r w:rsidRPr="001E2023">
        <w:tab/>
        <w:t xml:space="preserve">EZVO: Európske združenie voľného obchodu. </w:t>
      </w:r>
    </w:p>
  </w:footnote>
  <w:footnote w:id="20">
    <w:p w14:paraId="7854B1A8" w14:textId="77777777" w:rsidR="00EF7953" w:rsidRPr="001E2023" w:rsidRDefault="00EF7953">
      <w:pPr>
        <w:pStyle w:val="Textpoznmkypodiarou"/>
        <w:rPr>
          <w:szCs w:val="24"/>
        </w:rPr>
      </w:pPr>
      <w:r w:rsidRPr="001E2023">
        <w:rPr>
          <w:rStyle w:val="Odkaznapoznmkupodiarou"/>
        </w:rPr>
        <w:footnoteRef/>
      </w:r>
      <w:r w:rsidRPr="001E2023">
        <w:tab/>
        <w:t>Kandidátske krajiny a prípadne potenciálni kandidáti zo západného Balkánu.</w:t>
      </w:r>
    </w:p>
  </w:footnote>
  <w:footnote w:id="21">
    <w:p w14:paraId="64306673" w14:textId="77777777" w:rsidR="000432E7" w:rsidRPr="001E2023" w:rsidRDefault="000432E7">
      <w:pPr>
        <w:pStyle w:val="Textpoznmkypodiarou"/>
        <w:rPr>
          <w:szCs w:val="18"/>
        </w:rPr>
      </w:pPr>
      <w:r w:rsidRPr="001E2023">
        <w:rPr>
          <w:rStyle w:val="Odkaznapoznmkupodiarou"/>
        </w:rPr>
        <w:footnoteRef/>
      </w:r>
      <w:r w:rsidRPr="001E2023">
        <w:tab/>
        <w:t>Rok N je rokom, v ktorom sa návrh/iniciatíva začína vykonávať. Nahraďte „N“ očakávaným prvým rokom vykonávania (napríklad: 2021). To isté urobte aj pri nasledujúcich rokoch.</w:t>
      </w:r>
    </w:p>
  </w:footnote>
  <w:footnote w:id="22">
    <w:p w14:paraId="2FD743B0" w14:textId="77777777" w:rsidR="000432E7" w:rsidRPr="001E2023" w:rsidRDefault="000432E7">
      <w:pPr>
        <w:pStyle w:val="Textpoznmkypodiarou"/>
        <w:rPr>
          <w:szCs w:val="18"/>
        </w:rPr>
      </w:pPr>
      <w:r w:rsidRPr="001E2023">
        <w:rPr>
          <w:rStyle w:val="Odkaznapoznmkupodiarou"/>
        </w:rPr>
        <w:footnoteRef/>
      </w:r>
      <w:r w:rsidRPr="001E2023">
        <w:tab/>
        <w:t>Podľa oficiálnej rozpočtovej nomenklatúry.</w:t>
      </w:r>
    </w:p>
  </w:footnote>
  <w:footnote w:id="23">
    <w:p w14:paraId="704C7EB7" w14:textId="77777777" w:rsidR="000432E7" w:rsidRPr="001E2023" w:rsidRDefault="000432E7">
      <w:pPr>
        <w:pStyle w:val="Textpoznmkypodiarou"/>
      </w:pPr>
      <w:r w:rsidRPr="001E2023">
        <w:rPr>
          <w:rStyle w:val="Odkaznapoznmkupodiarou"/>
        </w:rPr>
        <w:footnoteRef/>
      </w:r>
      <w:r w:rsidRPr="001E2023">
        <w:tab/>
        <w:t>Verejné obstarávanie sa začne v roku 2024 a cieľový dátum vykonania je 31. 12. 2025.</w:t>
      </w:r>
    </w:p>
  </w:footnote>
  <w:footnote w:id="24">
    <w:p w14:paraId="41A63322" w14:textId="77777777" w:rsidR="000432E7" w:rsidRPr="001E2023" w:rsidRDefault="000432E7">
      <w:pPr>
        <w:pStyle w:val="Textpoznmkypodiarou"/>
        <w:rPr>
          <w:szCs w:val="24"/>
        </w:rPr>
      </w:pPr>
      <w:r w:rsidRPr="001E2023">
        <w:rPr>
          <w:rStyle w:val="Odkaznapoznmkupodiarou"/>
        </w:rPr>
        <w:footnoteRef/>
      </w:r>
      <w:r w:rsidRPr="001E2023">
        <w:tab/>
        <w:t>Technická a/alebo administratívna pomoc a výdavky na podporu vykonávania programov a/alebo akcií EÚ (pôvodné rozpočtové riadky „BA“), nepriamy výskum, priamy výskum.</w:t>
      </w:r>
    </w:p>
  </w:footnote>
  <w:footnote w:id="25">
    <w:p w14:paraId="2004748C" w14:textId="77777777" w:rsidR="00F24F71" w:rsidRPr="001E2023" w:rsidRDefault="00F24F71" w:rsidP="004130BA">
      <w:pPr>
        <w:pStyle w:val="Textpoznmkypodiarou"/>
        <w:rPr>
          <w:szCs w:val="24"/>
        </w:rPr>
      </w:pPr>
      <w:r w:rsidRPr="001E2023">
        <w:rPr>
          <w:rStyle w:val="Odkaznapoznmkupodiarou"/>
        </w:rPr>
        <w:footnoteRef/>
      </w:r>
      <w:r w:rsidRPr="001E2023">
        <w:tab/>
        <w:t>Výstupy sú produkty, ktoré sa majú dodať, a služby, ktoré sa majú poskytnúť (napr.: počet financovaných výmen študentov, vybudované cesty v km atď.).</w:t>
      </w:r>
    </w:p>
  </w:footnote>
  <w:footnote w:id="26">
    <w:p w14:paraId="65F7E67D" w14:textId="77777777" w:rsidR="00F24F71" w:rsidRPr="001E2023" w:rsidRDefault="00F24F71" w:rsidP="004130BA">
      <w:pPr>
        <w:pStyle w:val="Textpoznmkypodiarou"/>
        <w:rPr>
          <w:szCs w:val="24"/>
        </w:rPr>
      </w:pPr>
      <w:r w:rsidRPr="001E2023">
        <w:rPr>
          <w:rStyle w:val="Odkaznapoznmkupodiarou"/>
        </w:rPr>
        <w:footnoteRef/>
      </w:r>
      <w:r w:rsidRPr="001E2023">
        <w:tab/>
        <w:t xml:space="preserve">Ako je uvedené v bode 1.4.2. „Špecifické ciele…“ </w:t>
      </w:r>
    </w:p>
  </w:footnote>
  <w:footnote w:id="27">
    <w:p w14:paraId="72523C1F" w14:textId="77777777" w:rsidR="009F68BE" w:rsidRPr="001E2023" w:rsidRDefault="009F68BE">
      <w:pPr>
        <w:pStyle w:val="Textpoznmkypodiarou"/>
        <w:rPr>
          <w:szCs w:val="18"/>
        </w:rPr>
      </w:pPr>
      <w:r w:rsidRPr="001E2023">
        <w:rPr>
          <w:rStyle w:val="Odkaznapoznmkupodiarou"/>
        </w:rPr>
        <w:footnoteRef/>
      </w:r>
      <w:r w:rsidRPr="001E2023">
        <w:tab/>
        <w:t>Rok N je rokom, v ktorom sa návrh/iniciatíva začína vykonávať. Nahraďte „N“ očakávaným prvým rokom vykonávania (napríklad: 2021). To isté urobte aj pri nasledujúcich rokoch.</w:t>
      </w:r>
    </w:p>
  </w:footnote>
  <w:footnote w:id="28">
    <w:p w14:paraId="57D974FC" w14:textId="77777777" w:rsidR="000547CE" w:rsidRPr="001E2023" w:rsidRDefault="000547CE">
      <w:pPr>
        <w:pStyle w:val="Textpoznmkypodiarou"/>
        <w:rPr>
          <w:szCs w:val="24"/>
        </w:rPr>
      </w:pPr>
      <w:r w:rsidRPr="001E2023">
        <w:rPr>
          <w:rStyle w:val="Odkaznapoznmkupodiarou"/>
        </w:rPr>
        <w:footnoteRef/>
      </w:r>
      <w:r w:rsidRPr="001E2023">
        <w:tab/>
        <w:t>Technická a/alebo administratívna pomoc a výdavky na podporu vykonávania programov a/alebo akcií EÚ (pôvodné rozpočtové riadky „BA“), nepriamy výskum, priamy výskum.</w:t>
      </w:r>
    </w:p>
  </w:footnote>
  <w:footnote w:id="29">
    <w:p w14:paraId="4C69CDF9" w14:textId="77777777" w:rsidR="00284093" w:rsidRPr="001E2023" w:rsidRDefault="00284093">
      <w:pPr>
        <w:pStyle w:val="Textpoznmkypodiarou"/>
        <w:rPr>
          <w:szCs w:val="24"/>
        </w:rPr>
      </w:pPr>
      <w:r w:rsidRPr="001E2023">
        <w:rPr>
          <w:rStyle w:val="Odkaznapoznmkupodiarou"/>
        </w:rPr>
        <w:footnoteRef/>
      </w:r>
      <w:r w:rsidRPr="001E2023">
        <w:tab/>
        <w:t>Čiastkový strop pre externých zamestnancov financovaných z operačných rozpočtových prostriedkov (pôvodné rozpočtové riadky „BA“).</w:t>
      </w:r>
    </w:p>
  </w:footnote>
  <w:footnote w:id="30">
    <w:p w14:paraId="120FAEEA" w14:textId="77777777" w:rsidR="00EF7953" w:rsidRPr="001E2023" w:rsidRDefault="00EF7953">
      <w:pPr>
        <w:pStyle w:val="Textpoznmkypodiarou"/>
      </w:pPr>
      <w:r w:rsidRPr="001E2023">
        <w:rPr>
          <w:rStyle w:val="Odkaznapoznmkupodiarou"/>
        </w:rPr>
        <w:footnoteRef/>
      </w:r>
      <w:r w:rsidRPr="001E2023">
        <w:tab/>
        <w:t>Rok N je rokom, v ktorom sa návrh/iniciatíva začína vykonávať. Nahraďte „N“ očakávaným prvým rokom vykonávania (napríklad: 2021). To isté urobte aj pri nasledujúcich rokoch.</w:t>
      </w:r>
    </w:p>
  </w:footnote>
  <w:footnote w:id="31">
    <w:p w14:paraId="7EB5F83B" w14:textId="77777777" w:rsidR="00EF7953" w:rsidRPr="001E2023" w:rsidRDefault="00EF7953">
      <w:pPr>
        <w:pStyle w:val="Textpoznmkypodiarou"/>
        <w:rPr>
          <w:szCs w:val="24"/>
        </w:rPr>
      </w:pPr>
      <w:r w:rsidRPr="001E2023">
        <w:rPr>
          <w:rStyle w:val="Odkaznapoznmkupodiarou"/>
        </w:rPr>
        <w:footnoteRef/>
      </w:r>
      <w:r w:rsidRPr="001E2023">
        <w:tab/>
        <w:t>Pokiaľ ide o tradičné vlastné zdroje (clá, odvody z produkcie cukru), uvedené sumy musia predstavovať čisté sumy, t. j. hrubé sumy po odčítaní 20 % na náklady na výber.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1C98" w14:textId="77777777" w:rsidR="003F317C" w:rsidRDefault="003F317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D0B3" w14:textId="77777777" w:rsidR="003F317C" w:rsidRDefault="003F317C" w:rsidP="003F317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CE040" w14:textId="77777777" w:rsidR="003F317C" w:rsidRPr="003F317C" w:rsidRDefault="003F317C" w:rsidP="003F317C">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7E5F" w14:textId="77777777" w:rsidR="003F317C" w:rsidRPr="003F317C" w:rsidRDefault="003F317C" w:rsidP="003F317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596D70"/>
    <w:multiLevelType w:val="multilevel"/>
    <w:tmpl w:val="BF128C58"/>
    <w:name w:val="Points roman"/>
    <w:lvl w:ilvl="0">
      <w:start w:val="1"/>
      <w:numFmt w:val="lowerRoman"/>
      <w:lvlRestart w:val="0"/>
      <w:pStyle w:val="Pointivx"/>
      <w:lvlText w:val="%1)"/>
      <w:lvlJc w:val="left"/>
      <w:pPr>
        <w:tabs>
          <w:tab w:val="num" w:pos="567"/>
        </w:tabs>
        <w:ind w:left="567" w:hanging="567"/>
      </w:pPr>
      <w:rPr>
        <w:rFonts w:hint="default"/>
      </w:rPr>
    </w:lvl>
    <w:lvl w:ilvl="1">
      <w:start w:val="1"/>
      <w:numFmt w:val="lowerRoman"/>
      <w:pStyle w:val="Pointivx1"/>
      <w:lvlText w:val="%2)"/>
      <w:lvlJc w:val="left"/>
      <w:pPr>
        <w:tabs>
          <w:tab w:val="num" w:pos="1134"/>
        </w:tabs>
        <w:ind w:left="1134" w:hanging="567"/>
      </w:pPr>
      <w:rPr>
        <w:rFonts w:hint="default"/>
      </w:rPr>
    </w:lvl>
    <w:lvl w:ilvl="2">
      <w:start w:val="1"/>
      <w:numFmt w:val="lowerRoman"/>
      <w:pStyle w:val="Pointivx2"/>
      <w:lvlText w:val="(%3)"/>
      <w:lvlJc w:val="left"/>
      <w:pPr>
        <w:tabs>
          <w:tab w:val="num" w:pos="1701"/>
        </w:tabs>
        <w:ind w:left="1701" w:hanging="567"/>
      </w:pPr>
      <w:rPr>
        <w:rFonts w:hint="default"/>
      </w:rPr>
    </w:lvl>
    <w:lvl w:ilvl="3">
      <w:start w:val="1"/>
      <w:numFmt w:val="lowerLetter"/>
      <w:pStyle w:val="Pointivx3"/>
      <w:lvlText w:val="(%4)"/>
      <w:lvlJc w:val="left"/>
      <w:pPr>
        <w:tabs>
          <w:tab w:val="num" w:pos="2268"/>
        </w:tabs>
        <w:ind w:left="2268" w:hanging="567"/>
      </w:pPr>
      <w:rPr>
        <w:rFonts w:hint="default"/>
      </w:rPr>
    </w:lvl>
    <w:lvl w:ilvl="4">
      <w:start w:val="1"/>
      <w:numFmt w:val="lowerRoman"/>
      <w:pStyle w:val="Pointivx4"/>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slovanzoznam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slovanzoznam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slovanzoznam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Zoznamsodrkami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5" w15:restartNumberingAfterBreak="0">
    <w:nsid w:val="5DF84969"/>
    <w:multiLevelType w:val="singleLevel"/>
    <w:tmpl w:val="1E12021A"/>
    <w:lvl w:ilvl="0">
      <w:start w:val="1"/>
      <w:numFmt w:val="bullet"/>
      <w:pStyle w:val="Zoznamsodrkami"/>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decimal"/>
      <w:pStyle w:val="Nadpis5"/>
      <w:lvlText w:val="%1.%2.%3.%4.%5."/>
      <w:lvlJc w:val="left"/>
      <w:pPr>
        <w:tabs>
          <w:tab w:val="num" w:pos="1417"/>
        </w:tabs>
        <w:ind w:left="1417" w:hanging="1417"/>
      </w:pPr>
    </w:lvl>
    <w:lvl w:ilvl="5">
      <w:start w:val="1"/>
      <w:numFmt w:val="decimal"/>
      <w:pStyle w:val="Nadpis6"/>
      <w:lvlText w:val="%1.%2.%3.%4.%5.%6."/>
      <w:lvlJc w:val="left"/>
      <w:pPr>
        <w:tabs>
          <w:tab w:val="num" w:pos="1417"/>
        </w:tabs>
        <w:ind w:left="1417" w:hanging="1417"/>
      </w:pPr>
    </w:lvl>
    <w:lvl w:ilvl="6">
      <w:start w:val="1"/>
      <w:numFmt w:val="decimal"/>
      <w:pStyle w:val="Nadpis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Zoznamsodrkami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Zoznamsodrkami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27294750">
    <w:abstractNumId w:val="0"/>
  </w:num>
  <w:num w:numId="2" w16cid:durableId="7028568">
    <w:abstractNumId w:val="20"/>
  </w:num>
  <w:num w:numId="3" w16cid:durableId="1075276292">
    <w:abstractNumId w:val="8"/>
  </w:num>
  <w:num w:numId="4" w16cid:durableId="987972602">
    <w:abstractNumId w:val="17"/>
  </w:num>
  <w:num w:numId="5" w16cid:durableId="1267008148">
    <w:abstractNumId w:val="16"/>
  </w:num>
  <w:num w:numId="6" w16cid:durableId="809176476">
    <w:abstractNumId w:val="28"/>
  </w:num>
  <w:num w:numId="7" w16cid:durableId="973221806">
    <w:abstractNumId w:val="25"/>
  </w:num>
  <w:num w:numId="8" w16cid:durableId="113597107">
    <w:abstractNumId w:val="29"/>
  </w:num>
  <w:num w:numId="9" w16cid:durableId="1152522448">
    <w:abstractNumId w:val="30"/>
  </w:num>
  <w:num w:numId="10" w16cid:durableId="1109659286">
    <w:abstractNumId w:val="1"/>
  </w:num>
  <w:num w:numId="11" w16cid:durableId="2130736682">
    <w:abstractNumId w:val="10"/>
  </w:num>
  <w:num w:numId="12" w16cid:durableId="655837539">
    <w:abstractNumId w:val="2"/>
  </w:num>
  <w:num w:numId="13" w16cid:durableId="615723377">
    <w:abstractNumId w:val="11"/>
  </w:num>
  <w:num w:numId="14" w16cid:durableId="872114898">
    <w:abstractNumId w:val="9"/>
  </w:num>
  <w:num w:numId="15" w16cid:durableId="1618487808">
    <w:abstractNumId w:val="18"/>
  </w:num>
  <w:num w:numId="16" w16cid:durableId="1675381198">
    <w:abstractNumId w:val="5"/>
  </w:num>
  <w:num w:numId="17" w16cid:durableId="1473134884">
    <w:abstractNumId w:val="24"/>
  </w:num>
  <w:num w:numId="18" w16cid:durableId="1932810366">
    <w:abstractNumId w:val="31"/>
    <w:lvlOverride w:ilvl="0">
      <w:startOverride w:val="1"/>
    </w:lvlOverride>
  </w:num>
  <w:num w:numId="19" w16cid:durableId="489296794">
    <w:abstractNumId w:val="15"/>
    <w:lvlOverride w:ilvl="0">
      <w:startOverride w:val="1"/>
    </w:lvlOverride>
  </w:num>
  <w:num w:numId="20" w16cid:durableId="1311249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1895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4558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596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6716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983119">
    <w:abstractNumId w:val="23"/>
  </w:num>
  <w:num w:numId="26" w16cid:durableId="274676287">
    <w:abstractNumId w:val="12"/>
  </w:num>
  <w:num w:numId="27" w16cid:durableId="66851473">
    <w:abstractNumId w:val="27"/>
  </w:num>
  <w:num w:numId="28" w16cid:durableId="1798984616">
    <w:abstractNumId w:val="7"/>
  </w:num>
  <w:num w:numId="29" w16cid:durableId="1869415434">
    <w:abstractNumId w:val="13"/>
  </w:num>
  <w:num w:numId="30" w16cid:durableId="1939364469">
    <w:abstractNumId w:val="14"/>
  </w:num>
  <w:num w:numId="31" w16cid:durableId="1431047920">
    <w:abstractNumId w:val="4"/>
  </w:num>
  <w:num w:numId="32" w16cid:durableId="763770091">
    <w:abstractNumId w:val="26"/>
  </w:num>
  <w:num w:numId="33" w16cid:durableId="2118090074">
    <w:abstractNumId w:val="3"/>
  </w:num>
  <w:num w:numId="34" w16cid:durableId="1266159758">
    <w:abstractNumId w:val="15"/>
  </w:num>
  <w:num w:numId="35" w16cid:durableId="471866696">
    <w:abstractNumId w:val="21"/>
  </w:num>
  <w:num w:numId="36" w16cid:durableId="1514153030">
    <w:abstractNumId w:val="22"/>
  </w:num>
  <w:num w:numId="37" w16cid:durableId="964504610">
    <w:abstractNumId w:val="6"/>
  </w:num>
  <w:num w:numId="38" w16cid:durableId="1131095546">
    <w:abstractNumId w:val="19"/>
  </w:num>
  <w:num w:numId="39" w16cid:durableId="520044840">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4-11-26 18:48:5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FigNum" w:val="1"/>
    <w:docVar w:name="LW_CORRIGENDUM" w:val="&lt;UNUSED&gt;"/>
    <w:docVar w:name="LW_COVERPAGE_EXISTS" w:val="True"/>
    <w:docVar w:name="LW_COVERPAGE_GUID" w:val="46FE385E-F439-401F-9137-7EE15B90559C"/>
    <w:docVar w:name="LW_COVERPAGE_TYPE" w:val="1"/>
    <w:docVar w:name="LW_CROSSREFERENCE" w:val="&lt;UNUSED&gt;"/>
    <w:docVar w:name="LW_DocType" w:val="COM"/>
    <w:docVar w:name="LW_EMISSION" w:val="28. 10. 2024"/>
    <w:docVar w:name="LW_EMISSION_ISODATE" w:val="2024-10-28"/>
    <w:docVar w:name="LW_EMISSION_LOCATION" w:val="BRX"/>
    <w:docVar w:name="LW_EMISSION_PREFIX" w:val="V Bruseli"/>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NS"/>
    <w:docVar w:name="LW_REF.II.NEW.CP_NUMBER" w:val="0276"/>
    <w:docVar w:name="LW_REF.II.NEW.CP_YEAR" w:val="2024"/>
    <w:docVar w:name="LW_REF.INST.NEW" w:val="COM"/>
    <w:docVar w:name="LW_REF.INST.NEW_ADOPTED" w:val="final"/>
    <w:docVar w:name="LW_REF.INST.NEW_TEXT" w:val="(2024) 49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í smernica 2011/16/EÚ o administratívnej spolupráci v oblasti daní"/>
    <w:docVar w:name="LW_TYPE.DOC.CP" w:val="SMERNICA RADY,"/>
    <w:docVar w:name="LwApiVersions" w:val="LW4CoDe 1.24.5.0; LW 9.0, Build 20240221"/>
  </w:docVars>
  <w:rsids>
    <w:rsidRoot w:val="00EF7953"/>
    <w:rsid w:val="00000137"/>
    <w:rsid w:val="0000021A"/>
    <w:rsid w:val="000007D6"/>
    <w:rsid w:val="00001447"/>
    <w:rsid w:val="00001951"/>
    <w:rsid w:val="00003A24"/>
    <w:rsid w:val="00003FA5"/>
    <w:rsid w:val="00004B2B"/>
    <w:rsid w:val="00004B70"/>
    <w:rsid w:val="00005423"/>
    <w:rsid w:val="00005D55"/>
    <w:rsid w:val="0000613D"/>
    <w:rsid w:val="0000725E"/>
    <w:rsid w:val="000110AB"/>
    <w:rsid w:val="00012067"/>
    <w:rsid w:val="00013244"/>
    <w:rsid w:val="0001490D"/>
    <w:rsid w:val="00015138"/>
    <w:rsid w:val="0001535F"/>
    <w:rsid w:val="000174E0"/>
    <w:rsid w:val="000178A9"/>
    <w:rsid w:val="0002027E"/>
    <w:rsid w:val="00020BBE"/>
    <w:rsid w:val="00020C46"/>
    <w:rsid w:val="000217C9"/>
    <w:rsid w:val="00021C65"/>
    <w:rsid w:val="0002226B"/>
    <w:rsid w:val="000222C9"/>
    <w:rsid w:val="000223A4"/>
    <w:rsid w:val="000237D9"/>
    <w:rsid w:val="0002384E"/>
    <w:rsid w:val="00023DB7"/>
    <w:rsid w:val="00023DBD"/>
    <w:rsid w:val="00023F97"/>
    <w:rsid w:val="00024E63"/>
    <w:rsid w:val="00025C81"/>
    <w:rsid w:val="00026DD6"/>
    <w:rsid w:val="00027BEB"/>
    <w:rsid w:val="0003063C"/>
    <w:rsid w:val="00030D02"/>
    <w:rsid w:val="00031936"/>
    <w:rsid w:val="000327F1"/>
    <w:rsid w:val="00033B6A"/>
    <w:rsid w:val="000349B7"/>
    <w:rsid w:val="00035014"/>
    <w:rsid w:val="000376F9"/>
    <w:rsid w:val="00037977"/>
    <w:rsid w:val="00037EE7"/>
    <w:rsid w:val="00037F2F"/>
    <w:rsid w:val="00040326"/>
    <w:rsid w:val="00040C8D"/>
    <w:rsid w:val="00041307"/>
    <w:rsid w:val="00041740"/>
    <w:rsid w:val="00042781"/>
    <w:rsid w:val="000432E7"/>
    <w:rsid w:val="00043ED7"/>
    <w:rsid w:val="00043F9B"/>
    <w:rsid w:val="00043FE3"/>
    <w:rsid w:val="0004668F"/>
    <w:rsid w:val="00046D5A"/>
    <w:rsid w:val="000504EC"/>
    <w:rsid w:val="00053245"/>
    <w:rsid w:val="000547CE"/>
    <w:rsid w:val="00056654"/>
    <w:rsid w:val="00056A3B"/>
    <w:rsid w:val="000576B1"/>
    <w:rsid w:val="00057764"/>
    <w:rsid w:val="00057B39"/>
    <w:rsid w:val="00062213"/>
    <w:rsid w:val="0006255D"/>
    <w:rsid w:val="00062BB6"/>
    <w:rsid w:val="000647F9"/>
    <w:rsid w:val="00064A71"/>
    <w:rsid w:val="0006511E"/>
    <w:rsid w:val="0006546D"/>
    <w:rsid w:val="00065660"/>
    <w:rsid w:val="00065F28"/>
    <w:rsid w:val="00066A16"/>
    <w:rsid w:val="0006714A"/>
    <w:rsid w:val="000679ED"/>
    <w:rsid w:val="00067C84"/>
    <w:rsid w:val="000704D8"/>
    <w:rsid w:val="000706C2"/>
    <w:rsid w:val="0007095E"/>
    <w:rsid w:val="00070E57"/>
    <w:rsid w:val="00070EA5"/>
    <w:rsid w:val="0007145A"/>
    <w:rsid w:val="000722C0"/>
    <w:rsid w:val="000726CD"/>
    <w:rsid w:val="00073510"/>
    <w:rsid w:val="0007378B"/>
    <w:rsid w:val="0007385E"/>
    <w:rsid w:val="000749E2"/>
    <w:rsid w:val="00075D91"/>
    <w:rsid w:val="00076A0C"/>
    <w:rsid w:val="00076A9D"/>
    <w:rsid w:val="00082C14"/>
    <w:rsid w:val="000835CB"/>
    <w:rsid w:val="00083BE1"/>
    <w:rsid w:val="000849BF"/>
    <w:rsid w:val="00085ED2"/>
    <w:rsid w:val="000862BA"/>
    <w:rsid w:val="00086791"/>
    <w:rsid w:val="0008772E"/>
    <w:rsid w:val="0009011B"/>
    <w:rsid w:val="000915F3"/>
    <w:rsid w:val="00091AD3"/>
    <w:rsid w:val="0009259E"/>
    <w:rsid w:val="00092B8E"/>
    <w:rsid w:val="00094362"/>
    <w:rsid w:val="00094EE6"/>
    <w:rsid w:val="00095A91"/>
    <w:rsid w:val="00096815"/>
    <w:rsid w:val="00096D14"/>
    <w:rsid w:val="0009712C"/>
    <w:rsid w:val="00097736"/>
    <w:rsid w:val="000A0AB9"/>
    <w:rsid w:val="000A0B0C"/>
    <w:rsid w:val="000A0E18"/>
    <w:rsid w:val="000A1CEA"/>
    <w:rsid w:val="000A2BE7"/>
    <w:rsid w:val="000A3A9A"/>
    <w:rsid w:val="000A41D5"/>
    <w:rsid w:val="000A4508"/>
    <w:rsid w:val="000A4D41"/>
    <w:rsid w:val="000A4F23"/>
    <w:rsid w:val="000A6DBE"/>
    <w:rsid w:val="000A7874"/>
    <w:rsid w:val="000B05A9"/>
    <w:rsid w:val="000B0DBF"/>
    <w:rsid w:val="000B2C93"/>
    <w:rsid w:val="000B3502"/>
    <w:rsid w:val="000B3B55"/>
    <w:rsid w:val="000B51D1"/>
    <w:rsid w:val="000C028F"/>
    <w:rsid w:val="000C165C"/>
    <w:rsid w:val="000C172D"/>
    <w:rsid w:val="000C1948"/>
    <w:rsid w:val="000C1DB5"/>
    <w:rsid w:val="000C3620"/>
    <w:rsid w:val="000C3632"/>
    <w:rsid w:val="000C509E"/>
    <w:rsid w:val="000C5432"/>
    <w:rsid w:val="000C5C0C"/>
    <w:rsid w:val="000C5FD7"/>
    <w:rsid w:val="000C6204"/>
    <w:rsid w:val="000C6FC0"/>
    <w:rsid w:val="000C725C"/>
    <w:rsid w:val="000C7935"/>
    <w:rsid w:val="000D07F0"/>
    <w:rsid w:val="000D0C5A"/>
    <w:rsid w:val="000D1515"/>
    <w:rsid w:val="000D1624"/>
    <w:rsid w:val="000D1744"/>
    <w:rsid w:val="000D1C57"/>
    <w:rsid w:val="000D3887"/>
    <w:rsid w:val="000D443C"/>
    <w:rsid w:val="000D498E"/>
    <w:rsid w:val="000D5529"/>
    <w:rsid w:val="000D64C1"/>
    <w:rsid w:val="000D6659"/>
    <w:rsid w:val="000D674F"/>
    <w:rsid w:val="000D7769"/>
    <w:rsid w:val="000E014B"/>
    <w:rsid w:val="000E05AC"/>
    <w:rsid w:val="000E11CE"/>
    <w:rsid w:val="000E336D"/>
    <w:rsid w:val="000E43E9"/>
    <w:rsid w:val="000E6C31"/>
    <w:rsid w:val="000E7410"/>
    <w:rsid w:val="000E7A47"/>
    <w:rsid w:val="000E7E0D"/>
    <w:rsid w:val="000F3ED1"/>
    <w:rsid w:val="000F42B1"/>
    <w:rsid w:val="000F4C67"/>
    <w:rsid w:val="000F4EC3"/>
    <w:rsid w:val="000F5FAC"/>
    <w:rsid w:val="000F60B0"/>
    <w:rsid w:val="000F60F3"/>
    <w:rsid w:val="000F65CE"/>
    <w:rsid w:val="000F67A5"/>
    <w:rsid w:val="000F6E8D"/>
    <w:rsid w:val="000F79B1"/>
    <w:rsid w:val="00100C97"/>
    <w:rsid w:val="001013E8"/>
    <w:rsid w:val="00101D12"/>
    <w:rsid w:val="001020A5"/>
    <w:rsid w:val="00102B26"/>
    <w:rsid w:val="00102DC6"/>
    <w:rsid w:val="00103298"/>
    <w:rsid w:val="00103ECC"/>
    <w:rsid w:val="00104F02"/>
    <w:rsid w:val="00105039"/>
    <w:rsid w:val="001055A9"/>
    <w:rsid w:val="00105E80"/>
    <w:rsid w:val="001065F5"/>
    <w:rsid w:val="001074AF"/>
    <w:rsid w:val="001074C2"/>
    <w:rsid w:val="00107B51"/>
    <w:rsid w:val="0011111C"/>
    <w:rsid w:val="00111503"/>
    <w:rsid w:val="00112033"/>
    <w:rsid w:val="00112FED"/>
    <w:rsid w:val="00113406"/>
    <w:rsid w:val="001137CD"/>
    <w:rsid w:val="00113DFF"/>
    <w:rsid w:val="0011463D"/>
    <w:rsid w:val="0011544C"/>
    <w:rsid w:val="0011622A"/>
    <w:rsid w:val="00116D5A"/>
    <w:rsid w:val="0011716A"/>
    <w:rsid w:val="00117377"/>
    <w:rsid w:val="0011769E"/>
    <w:rsid w:val="001207F8"/>
    <w:rsid w:val="0012094B"/>
    <w:rsid w:val="00120AB6"/>
    <w:rsid w:val="00121BBC"/>
    <w:rsid w:val="001238EF"/>
    <w:rsid w:val="00123BAC"/>
    <w:rsid w:val="001241EC"/>
    <w:rsid w:val="00125517"/>
    <w:rsid w:val="001264F7"/>
    <w:rsid w:val="00126B7A"/>
    <w:rsid w:val="00126D53"/>
    <w:rsid w:val="001275F8"/>
    <w:rsid w:val="00127904"/>
    <w:rsid w:val="00127940"/>
    <w:rsid w:val="00127A0E"/>
    <w:rsid w:val="0013061F"/>
    <w:rsid w:val="00130BFA"/>
    <w:rsid w:val="00131189"/>
    <w:rsid w:val="00131892"/>
    <w:rsid w:val="00131BF1"/>
    <w:rsid w:val="00132574"/>
    <w:rsid w:val="001325A4"/>
    <w:rsid w:val="00134309"/>
    <w:rsid w:val="00134CE8"/>
    <w:rsid w:val="00134D6E"/>
    <w:rsid w:val="00135702"/>
    <w:rsid w:val="001357FD"/>
    <w:rsid w:val="00136282"/>
    <w:rsid w:val="001367EE"/>
    <w:rsid w:val="00137802"/>
    <w:rsid w:val="00137A43"/>
    <w:rsid w:val="001408D5"/>
    <w:rsid w:val="001409B5"/>
    <w:rsid w:val="00141210"/>
    <w:rsid w:val="0014158C"/>
    <w:rsid w:val="00141A98"/>
    <w:rsid w:val="00142979"/>
    <w:rsid w:val="0014389B"/>
    <w:rsid w:val="00143CCA"/>
    <w:rsid w:val="00143FC6"/>
    <w:rsid w:val="001443E9"/>
    <w:rsid w:val="00145313"/>
    <w:rsid w:val="00145BD9"/>
    <w:rsid w:val="00146DC7"/>
    <w:rsid w:val="00147741"/>
    <w:rsid w:val="0015016B"/>
    <w:rsid w:val="00151FAF"/>
    <w:rsid w:val="001521CF"/>
    <w:rsid w:val="00152AD2"/>
    <w:rsid w:val="00153CD0"/>
    <w:rsid w:val="00153FAB"/>
    <w:rsid w:val="0015662B"/>
    <w:rsid w:val="001568D4"/>
    <w:rsid w:val="00156B8F"/>
    <w:rsid w:val="00156BB1"/>
    <w:rsid w:val="0016021A"/>
    <w:rsid w:val="0016081A"/>
    <w:rsid w:val="00160B5D"/>
    <w:rsid w:val="00161A07"/>
    <w:rsid w:val="00162897"/>
    <w:rsid w:val="00162A0E"/>
    <w:rsid w:val="00163092"/>
    <w:rsid w:val="00163457"/>
    <w:rsid w:val="00163F48"/>
    <w:rsid w:val="0016402E"/>
    <w:rsid w:val="00164328"/>
    <w:rsid w:val="0016506E"/>
    <w:rsid w:val="001664F9"/>
    <w:rsid w:val="00166F5B"/>
    <w:rsid w:val="00167C41"/>
    <w:rsid w:val="00170444"/>
    <w:rsid w:val="00170519"/>
    <w:rsid w:val="00170D8B"/>
    <w:rsid w:val="00171264"/>
    <w:rsid w:val="0017143A"/>
    <w:rsid w:val="00171708"/>
    <w:rsid w:val="00172557"/>
    <w:rsid w:val="001750BD"/>
    <w:rsid w:val="00175AA3"/>
    <w:rsid w:val="00176B3B"/>
    <w:rsid w:val="00176B97"/>
    <w:rsid w:val="00176CD3"/>
    <w:rsid w:val="00177D4A"/>
    <w:rsid w:val="0018106E"/>
    <w:rsid w:val="00181DF2"/>
    <w:rsid w:val="00182A46"/>
    <w:rsid w:val="00184A2D"/>
    <w:rsid w:val="00185541"/>
    <w:rsid w:val="00186547"/>
    <w:rsid w:val="00186EFA"/>
    <w:rsid w:val="0018721B"/>
    <w:rsid w:val="001872BD"/>
    <w:rsid w:val="00187604"/>
    <w:rsid w:val="00187A5F"/>
    <w:rsid w:val="00190AA8"/>
    <w:rsid w:val="001910CC"/>
    <w:rsid w:val="0019153F"/>
    <w:rsid w:val="00191B64"/>
    <w:rsid w:val="00191EDB"/>
    <w:rsid w:val="00191F2F"/>
    <w:rsid w:val="00192128"/>
    <w:rsid w:val="00192207"/>
    <w:rsid w:val="001938CF"/>
    <w:rsid w:val="001952FF"/>
    <w:rsid w:val="00196141"/>
    <w:rsid w:val="00196B14"/>
    <w:rsid w:val="00197613"/>
    <w:rsid w:val="0019762F"/>
    <w:rsid w:val="001A0596"/>
    <w:rsid w:val="001A0F5F"/>
    <w:rsid w:val="001A11E7"/>
    <w:rsid w:val="001A1502"/>
    <w:rsid w:val="001A1FC3"/>
    <w:rsid w:val="001A3190"/>
    <w:rsid w:val="001A338E"/>
    <w:rsid w:val="001A41F9"/>
    <w:rsid w:val="001A4739"/>
    <w:rsid w:val="001A524F"/>
    <w:rsid w:val="001B063E"/>
    <w:rsid w:val="001B0C04"/>
    <w:rsid w:val="001B1105"/>
    <w:rsid w:val="001B1F33"/>
    <w:rsid w:val="001B2698"/>
    <w:rsid w:val="001B2F19"/>
    <w:rsid w:val="001B3D96"/>
    <w:rsid w:val="001B45AD"/>
    <w:rsid w:val="001B670A"/>
    <w:rsid w:val="001B677C"/>
    <w:rsid w:val="001B6BFD"/>
    <w:rsid w:val="001B6DBF"/>
    <w:rsid w:val="001C080A"/>
    <w:rsid w:val="001C0A6D"/>
    <w:rsid w:val="001C1221"/>
    <w:rsid w:val="001C187A"/>
    <w:rsid w:val="001C1959"/>
    <w:rsid w:val="001C1AAE"/>
    <w:rsid w:val="001C1D8D"/>
    <w:rsid w:val="001C358F"/>
    <w:rsid w:val="001C3637"/>
    <w:rsid w:val="001C4437"/>
    <w:rsid w:val="001C4FA4"/>
    <w:rsid w:val="001C5DB5"/>
    <w:rsid w:val="001C62D5"/>
    <w:rsid w:val="001C638A"/>
    <w:rsid w:val="001C7685"/>
    <w:rsid w:val="001D0BB2"/>
    <w:rsid w:val="001D112D"/>
    <w:rsid w:val="001D14FC"/>
    <w:rsid w:val="001D1742"/>
    <w:rsid w:val="001D1995"/>
    <w:rsid w:val="001D227F"/>
    <w:rsid w:val="001D39D7"/>
    <w:rsid w:val="001D4265"/>
    <w:rsid w:val="001D43AD"/>
    <w:rsid w:val="001D51D4"/>
    <w:rsid w:val="001D5947"/>
    <w:rsid w:val="001E1066"/>
    <w:rsid w:val="001E2023"/>
    <w:rsid w:val="001E2340"/>
    <w:rsid w:val="001E25EC"/>
    <w:rsid w:val="001E2F62"/>
    <w:rsid w:val="001E4AF6"/>
    <w:rsid w:val="001E5C58"/>
    <w:rsid w:val="001E6316"/>
    <w:rsid w:val="001E7916"/>
    <w:rsid w:val="001E7ABD"/>
    <w:rsid w:val="001F068F"/>
    <w:rsid w:val="001F098E"/>
    <w:rsid w:val="001F1A19"/>
    <w:rsid w:val="001F2DFC"/>
    <w:rsid w:val="001F3789"/>
    <w:rsid w:val="001F37EC"/>
    <w:rsid w:val="001F547C"/>
    <w:rsid w:val="001F5C54"/>
    <w:rsid w:val="001F5DAC"/>
    <w:rsid w:val="001F5F06"/>
    <w:rsid w:val="001F73E0"/>
    <w:rsid w:val="001F79DB"/>
    <w:rsid w:val="0020000A"/>
    <w:rsid w:val="002005B5"/>
    <w:rsid w:val="00201073"/>
    <w:rsid w:val="00201E80"/>
    <w:rsid w:val="002025A1"/>
    <w:rsid w:val="00203419"/>
    <w:rsid w:val="00205BA3"/>
    <w:rsid w:val="00206956"/>
    <w:rsid w:val="00207446"/>
    <w:rsid w:val="00207E35"/>
    <w:rsid w:val="00207EC6"/>
    <w:rsid w:val="002116A2"/>
    <w:rsid w:val="00211739"/>
    <w:rsid w:val="00212721"/>
    <w:rsid w:val="00212C91"/>
    <w:rsid w:val="00212F2B"/>
    <w:rsid w:val="00213020"/>
    <w:rsid w:val="0021357B"/>
    <w:rsid w:val="0021418E"/>
    <w:rsid w:val="002149CA"/>
    <w:rsid w:val="00214F59"/>
    <w:rsid w:val="0021633F"/>
    <w:rsid w:val="002203E8"/>
    <w:rsid w:val="002214B3"/>
    <w:rsid w:val="0022200E"/>
    <w:rsid w:val="00224478"/>
    <w:rsid w:val="0022465A"/>
    <w:rsid w:val="00224D97"/>
    <w:rsid w:val="00224F42"/>
    <w:rsid w:val="002252A1"/>
    <w:rsid w:val="00225428"/>
    <w:rsid w:val="002260E2"/>
    <w:rsid w:val="00227309"/>
    <w:rsid w:val="002273FC"/>
    <w:rsid w:val="00230F6D"/>
    <w:rsid w:val="002311B2"/>
    <w:rsid w:val="002315B7"/>
    <w:rsid w:val="00233DC7"/>
    <w:rsid w:val="00233E73"/>
    <w:rsid w:val="0023425E"/>
    <w:rsid w:val="00234338"/>
    <w:rsid w:val="00236628"/>
    <w:rsid w:val="00236782"/>
    <w:rsid w:val="002370DE"/>
    <w:rsid w:val="002407D1"/>
    <w:rsid w:val="00240FCF"/>
    <w:rsid w:val="0024110E"/>
    <w:rsid w:val="00241D3A"/>
    <w:rsid w:val="00241F5A"/>
    <w:rsid w:val="002426DC"/>
    <w:rsid w:val="00242DB4"/>
    <w:rsid w:val="00243861"/>
    <w:rsid w:val="0024467A"/>
    <w:rsid w:val="00247395"/>
    <w:rsid w:val="00247779"/>
    <w:rsid w:val="002505A6"/>
    <w:rsid w:val="00250CD2"/>
    <w:rsid w:val="00251EC5"/>
    <w:rsid w:val="00253D99"/>
    <w:rsid w:val="00255977"/>
    <w:rsid w:val="00256A78"/>
    <w:rsid w:val="0025745D"/>
    <w:rsid w:val="00260B5F"/>
    <w:rsid w:val="002610A5"/>
    <w:rsid w:val="00261AD4"/>
    <w:rsid w:val="002627C0"/>
    <w:rsid w:val="0026439E"/>
    <w:rsid w:val="002646AA"/>
    <w:rsid w:val="00265B2F"/>
    <w:rsid w:val="00266BD2"/>
    <w:rsid w:val="00267677"/>
    <w:rsid w:val="00267F6D"/>
    <w:rsid w:val="00267FD5"/>
    <w:rsid w:val="00270D49"/>
    <w:rsid w:val="00271420"/>
    <w:rsid w:val="002722B3"/>
    <w:rsid w:val="00272D42"/>
    <w:rsid w:val="00273EA5"/>
    <w:rsid w:val="00275295"/>
    <w:rsid w:val="002759EA"/>
    <w:rsid w:val="00276500"/>
    <w:rsid w:val="00276EE2"/>
    <w:rsid w:val="00277094"/>
    <w:rsid w:val="002775A9"/>
    <w:rsid w:val="00277AA1"/>
    <w:rsid w:val="002803E2"/>
    <w:rsid w:val="002809DC"/>
    <w:rsid w:val="00280AAF"/>
    <w:rsid w:val="00280D09"/>
    <w:rsid w:val="00280D26"/>
    <w:rsid w:val="00281070"/>
    <w:rsid w:val="00281988"/>
    <w:rsid w:val="00282569"/>
    <w:rsid w:val="0028339D"/>
    <w:rsid w:val="00283F67"/>
    <w:rsid w:val="00284093"/>
    <w:rsid w:val="002854FB"/>
    <w:rsid w:val="002858F4"/>
    <w:rsid w:val="00285A1A"/>
    <w:rsid w:val="00285BEE"/>
    <w:rsid w:val="00286742"/>
    <w:rsid w:val="00286F88"/>
    <w:rsid w:val="00290091"/>
    <w:rsid w:val="00290B97"/>
    <w:rsid w:val="00291C89"/>
    <w:rsid w:val="0029204E"/>
    <w:rsid w:val="00292E81"/>
    <w:rsid w:val="00292FED"/>
    <w:rsid w:val="00294847"/>
    <w:rsid w:val="00294AAA"/>
    <w:rsid w:val="0029533F"/>
    <w:rsid w:val="00295AC6"/>
    <w:rsid w:val="0029612A"/>
    <w:rsid w:val="0029631A"/>
    <w:rsid w:val="00296A8F"/>
    <w:rsid w:val="00296FD9"/>
    <w:rsid w:val="002A1547"/>
    <w:rsid w:val="002A2B5A"/>
    <w:rsid w:val="002A303C"/>
    <w:rsid w:val="002A483B"/>
    <w:rsid w:val="002A6805"/>
    <w:rsid w:val="002A7B72"/>
    <w:rsid w:val="002B153E"/>
    <w:rsid w:val="002B1EBB"/>
    <w:rsid w:val="002B204E"/>
    <w:rsid w:val="002B274E"/>
    <w:rsid w:val="002B30AF"/>
    <w:rsid w:val="002B3CC9"/>
    <w:rsid w:val="002B764A"/>
    <w:rsid w:val="002B76D5"/>
    <w:rsid w:val="002B7AC5"/>
    <w:rsid w:val="002B7DD8"/>
    <w:rsid w:val="002C01BC"/>
    <w:rsid w:val="002C080E"/>
    <w:rsid w:val="002C2058"/>
    <w:rsid w:val="002C246C"/>
    <w:rsid w:val="002C3D36"/>
    <w:rsid w:val="002C4120"/>
    <w:rsid w:val="002C4B44"/>
    <w:rsid w:val="002C4D0D"/>
    <w:rsid w:val="002C4DA9"/>
    <w:rsid w:val="002C4FB8"/>
    <w:rsid w:val="002C7706"/>
    <w:rsid w:val="002D020E"/>
    <w:rsid w:val="002D06EA"/>
    <w:rsid w:val="002D10CC"/>
    <w:rsid w:val="002D1775"/>
    <w:rsid w:val="002D2DEA"/>
    <w:rsid w:val="002D3590"/>
    <w:rsid w:val="002D39F6"/>
    <w:rsid w:val="002D4602"/>
    <w:rsid w:val="002D4AAE"/>
    <w:rsid w:val="002D5E6F"/>
    <w:rsid w:val="002D6076"/>
    <w:rsid w:val="002D757A"/>
    <w:rsid w:val="002D7A8C"/>
    <w:rsid w:val="002D7CB0"/>
    <w:rsid w:val="002E0FA1"/>
    <w:rsid w:val="002E223B"/>
    <w:rsid w:val="002E2C6B"/>
    <w:rsid w:val="002E2D90"/>
    <w:rsid w:val="002E3499"/>
    <w:rsid w:val="002E4B16"/>
    <w:rsid w:val="002E53E1"/>
    <w:rsid w:val="002E6799"/>
    <w:rsid w:val="002E6880"/>
    <w:rsid w:val="002E79BB"/>
    <w:rsid w:val="002E79C7"/>
    <w:rsid w:val="002F023B"/>
    <w:rsid w:val="002F071B"/>
    <w:rsid w:val="002F1028"/>
    <w:rsid w:val="002F12DA"/>
    <w:rsid w:val="002F39D5"/>
    <w:rsid w:val="002F3A95"/>
    <w:rsid w:val="002F45B6"/>
    <w:rsid w:val="002F48D9"/>
    <w:rsid w:val="002F6876"/>
    <w:rsid w:val="002F7C74"/>
    <w:rsid w:val="00300842"/>
    <w:rsid w:val="00300EBE"/>
    <w:rsid w:val="00301146"/>
    <w:rsid w:val="0030196E"/>
    <w:rsid w:val="003029F5"/>
    <w:rsid w:val="00303D4B"/>
    <w:rsid w:val="00304930"/>
    <w:rsid w:val="00305CA7"/>
    <w:rsid w:val="003063E3"/>
    <w:rsid w:val="003068C9"/>
    <w:rsid w:val="00307CFF"/>
    <w:rsid w:val="0031120A"/>
    <w:rsid w:val="00311C82"/>
    <w:rsid w:val="003136C4"/>
    <w:rsid w:val="00314999"/>
    <w:rsid w:val="003153F9"/>
    <w:rsid w:val="00316432"/>
    <w:rsid w:val="0031708F"/>
    <w:rsid w:val="00320078"/>
    <w:rsid w:val="00320B27"/>
    <w:rsid w:val="003213D9"/>
    <w:rsid w:val="003214FB"/>
    <w:rsid w:val="00321634"/>
    <w:rsid w:val="00321717"/>
    <w:rsid w:val="00322783"/>
    <w:rsid w:val="00322FE6"/>
    <w:rsid w:val="003232BA"/>
    <w:rsid w:val="00323633"/>
    <w:rsid w:val="0032379C"/>
    <w:rsid w:val="0032384F"/>
    <w:rsid w:val="00323FFB"/>
    <w:rsid w:val="003248B9"/>
    <w:rsid w:val="00324B67"/>
    <w:rsid w:val="00325C3A"/>
    <w:rsid w:val="00326175"/>
    <w:rsid w:val="00332E71"/>
    <w:rsid w:val="0033344A"/>
    <w:rsid w:val="00333BF1"/>
    <w:rsid w:val="00337434"/>
    <w:rsid w:val="00337625"/>
    <w:rsid w:val="003411B8"/>
    <w:rsid w:val="003421DD"/>
    <w:rsid w:val="00342BFC"/>
    <w:rsid w:val="0034381F"/>
    <w:rsid w:val="003438CB"/>
    <w:rsid w:val="0034426C"/>
    <w:rsid w:val="003447D4"/>
    <w:rsid w:val="00345F26"/>
    <w:rsid w:val="00346276"/>
    <w:rsid w:val="003471FF"/>
    <w:rsid w:val="0034760A"/>
    <w:rsid w:val="00350724"/>
    <w:rsid w:val="00350D60"/>
    <w:rsid w:val="0035336E"/>
    <w:rsid w:val="00353E6A"/>
    <w:rsid w:val="00353F6F"/>
    <w:rsid w:val="00354365"/>
    <w:rsid w:val="0035576E"/>
    <w:rsid w:val="003557CF"/>
    <w:rsid w:val="00355CEF"/>
    <w:rsid w:val="00356336"/>
    <w:rsid w:val="00360683"/>
    <w:rsid w:val="00361BC0"/>
    <w:rsid w:val="00361F05"/>
    <w:rsid w:val="0036458D"/>
    <w:rsid w:val="00364AAC"/>
    <w:rsid w:val="00365103"/>
    <w:rsid w:val="00366783"/>
    <w:rsid w:val="003678A0"/>
    <w:rsid w:val="00367C91"/>
    <w:rsid w:val="003706B5"/>
    <w:rsid w:val="00373248"/>
    <w:rsid w:val="00374FD8"/>
    <w:rsid w:val="00375033"/>
    <w:rsid w:val="003758AA"/>
    <w:rsid w:val="00376708"/>
    <w:rsid w:val="003814B9"/>
    <w:rsid w:val="003830AE"/>
    <w:rsid w:val="003830ED"/>
    <w:rsid w:val="003833CE"/>
    <w:rsid w:val="00384C51"/>
    <w:rsid w:val="00384DD2"/>
    <w:rsid w:val="00384F14"/>
    <w:rsid w:val="003850D8"/>
    <w:rsid w:val="0038536B"/>
    <w:rsid w:val="00385BF5"/>
    <w:rsid w:val="00386926"/>
    <w:rsid w:val="0038692C"/>
    <w:rsid w:val="00387919"/>
    <w:rsid w:val="00387A0B"/>
    <w:rsid w:val="00387E54"/>
    <w:rsid w:val="0039018B"/>
    <w:rsid w:val="0039102A"/>
    <w:rsid w:val="00391163"/>
    <w:rsid w:val="00392673"/>
    <w:rsid w:val="00393244"/>
    <w:rsid w:val="003933C6"/>
    <w:rsid w:val="00393629"/>
    <w:rsid w:val="0039366D"/>
    <w:rsid w:val="00395123"/>
    <w:rsid w:val="0039543D"/>
    <w:rsid w:val="00395564"/>
    <w:rsid w:val="0039562C"/>
    <w:rsid w:val="0039673F"/>
    <w:rsid w:val="003A081A"/>
    <w:rsid w:val="003A0992"/>
    <w:rsid w:val="003A0C1A"/>
    <w:rsid w:val="003A15D0"/>
    <w:rsid w:val="003A16EE"/>
    <w:rsid w:val="003A1953"/>
    <w:rsid w:val="003A1A0A"/>
    <w:rsid w:val="003A2AB0"/>
    <w:rsid w:val="003A3212"/>
    <w:rsid w:val="003A3C80"/>
    <w:rsid w:val="003A415D"/>
    <w:rsid w:val="003A4883"/>
    <w:rsid w:val="003A4C8A"/>
    <w:rsid w:val="003A5035"/>
    <w:rsid w:val="003A7608"/>
    <w:rsid w:val="003A77A6"/>
    <w:rsid w:val="003B0303"/>
    <w:rsid w:val="003B0BE2"/>
    <w:rsid w:val="003B0F9F"/>
    <w:rsid w:val="003B16AA"/>
    <w:rsid w:val="003B1738"/>
    <w:rsid w:val="003B2808"/>
    <w:rsid w:val="003B282F"/>
    <w:rsid w:val="003B2A8A"/>
    <w:rsid w:val="003B316D"/>
    <w:rsid w:val="003B340F"/>
    <w:rsid w:val="003B42C2"/>
    <w:rsid w:val="003B4865"/>
    <w:rsid w:val="003B5F2C"/>
    <w:rsid w:val="003B615B"/>
    <w:rsid w:val="003B7187"/>
    <w:rsid w:val="003B7E94"/>
    <w:rsid w:val="003C0287"/>
    <w:rsid w:val="003C1816"/>
    <w:rsid w:val="003C1D56"/>
    <w:rsid w:val="003C2707"/>
    <w:rsid w:val="003C36E5"/>
    <w:rsid w:val="003C3D41"/>
    <w:rsid w:val="003C500B"/>
    <w:rsid w:val="003C50A2"/>
    <w:rsid w:val="003D0605"/>
    <w:rsid w:val="003D063D"/>
    <w:rsid w:val="003D1890"/>
    <w:rsid w:val="003D2155"/>
    <w:rsid w:val="003D3F44"/>
    <w:rsid w:val="003D4137"/>
    <w:rsid w:val="003D4668"/>
    <w:rsid w:val="003D470A"/>
    <w:rsid w:val="003D4DB9"/>
    <w:rsid w:val="003D4E95"/>
    <w:rsid w:val="003D502E"/>
    <w:rsid w:val="003D5A67"/>
    <w:rsid w:val="003D5D81"/>
    <w:rsid w:val="003D5E4F"/>
    <w:rsid w:val="003D74E2"/>
    <w:rsid w:val="003D7E29"/>
    <w:rsid w:val="003D7E39"/>
    <w:rsid w:val="003E06E7"/>
    <w:rsid w:val="003E0ED9"/>
    <w:rsid w:val="003E1512"/>
    <w:rsid w:val="003E1BF6"/>
    <w:rsid w:val="003E3139"/>
    <w:rsid w:val="003E3485"/>
    <w:rsid w:val="003E3942"/>
    <w:rsid w:val="003E3C2A"/>
    <w:rsid w:val="003E4010"/>
    <w:rsid w:val="003E5A20"/>
    <w:rsid w:val="003E5AC6"/>
    <w:rsid w:val="003E6E67"/>
    <w:rsid w:val="003E7A57"/>
    <w:rsid w:val="003F0181"/>
    <w:rsid w:val="003F149C"/>
    <w:rsid w:val="003F1B85"/>
    <w:rsid w:val="003F1C96"/>
    <w:rsid w:val="003F2015"/>
    <w:rsid w:val="003F22E3"/>
    <w:rsid w:val="003F23FE"/>
    <w:rsid w:val="003F2D18"/>
    <w:rsid w:val="003F2D19"/>
    <w:rsid w:val="003F317C"/>
    <w:rsid w:val="003F35DC"/>
    <w:rsid w:val="003F38B1"/>
    <w:rsid w:val="003F4061"/>
    <w:rsid w:val="003F583E"/>
    <w:rsid w:val="003F5C13"/>
    <w:rsid w:val="003F663E"/>
    <w:rsid w:val="003F6C5D"/>
    <w:rsid w:val="003F7327"/>
    <w:rsid w:val="003F7499"/>
    <w:rsid w:val="003F789F"/>
    <w:rsid w:val="003F7ABE"/>
    <w:rsid w:val="00400551"/>
    <w:rsid w:val="00400C54"/>
    <w:rsid w:val="00401054"/>
    <w:rsid w:val="004019C4"/>
    <w:rsid w:val="0040482A"/>
    <w:rsid w:val="00404BF2"/>
    <w:rsid w:val="0040559F"/>
    <w:rsid w:val="00405AC6"/>
    <w:rsid w:val="00406C3C"/>
    <w:rsid w:val="00406CE8"/>
    <w:rsid w:val="00407BFF"/>
    <w:rsid w:val="00407C1C"/>
    <w:rsid w:val="00410FA9"/>
    <w:rsid w:val="0041120D"/>
    <w:rsid w:val="0041168A"/>
    <w:rsid w:val="00412ADB"/>
    <w:rsid w:val="004130BA"/>
    <w:rsid w:val="0041314E"/>
    <w:rsid w:val="004145CE"/>
    <w:rsid w:val="004153E6"/>
    <w:rsid w:val="004174EE"/>
    <w:rsid w:val="004204C8"/>
    <w:rsid w:val="00421028"/>
    <w:rsid w:val="00421284"/>
    <w:rsid w:val="00421FC9"/>
    <w:rsid w:val="0042284B"/>
    <w:rsid w:val="00423364"/>
    <w:rsid w:val="00424109"/>
    <w:rsid w:val="00424EFF"/>
    <w:rsid w:val="00425F67"/>
    <w:rsid w:val="0042648E"/>
    <w:rsid w:val="00426ACC"/>
    <w:rsid w:val="00427C7E"/>
    <w:rsid w:val="00431B23"/>
    <w:rsid w:val="0043251F"/>
    <w:rsid w:val="00432E23"/>
    <w:rsid w:val="00433C4E"/>
    <w:rsid w:val="004368DD"/>
    <w:rsid w:val="004378DF"/>
    <w:rsid w:val="004402B9"/>
    <w:rsid w:val="0044078C"/>
    <w:rsid w:val="00441B51"/>
    <w:rsid w:val="00441BFF"/>
    <w:rsid w:val="00441F86"/>
    <w:rsid w:val="00442377"/>
    <w:rsid w:val="00442878"/>
    <w:rsid w:val="004429A6"/>
    <w:rsid w:val="0044311D"/>
    <w:rsid w:val="00443371"/>
    <w:rsid w:val="004433D6"/>
    <w:rsid w:val="00443934"/>
    <w:rsid w:val="00443AE5"/>
    <w:rsid w:val="00443FDB"/>
    <w:rsid w:val="004446F0"/>
    <w:rsid w:val="00445573"/>
    <w:rsid w:val="004458A8"/>
    <w:rsid w:val="00446D8F"/>
    <w:rsid w:val="00447101"/>
    <w:rsid w:val="00447363"/>
    <w:rsid w:val="00447427"/>
    <w:rsid w:val="004504F8"/>
    <w:rsid w:val="00450BBE"/>
    <w:rsid w:val="00450E03"/>
    <w:rsid w:val="0045131A"/>
    <w:rsid w:val="00451A97"/>
    <w:rsid w:val="004530B4"/>
    <w:rsid w:val="0045330D"/>
    <w:rsid w:val="00454A9D"/>
    <w:rsid w:val="00455E4A"/>
    <w:rsid w:val="004561A6"/>
    <w:rsid w:val="004573FA"/>
    <w:rsid w:val="004576C5"/>
    <w:rsid w:val="00460601"/>
    <w:rsid w:val="004626BB"/>
    <w:rsid w:val="004644FD"/>
    <w:rsid w:val="00464FB5"/>
    <w:rsid w:val="00465A11"/>
    <w:rsid w:val="00467503"/>
    <w:rsid w:val="00470171"/>
    <w:rsid w:val="00470B8E"/>
    <w:rsid w:val="00472695"/>
    <w:rsid w:val="00472A9A"/>
    <w:rsid w:val="00473572"/>
    <w:rsid w:val="0047427B"/>
    <w:rsid w:val="0047586F"/>
    <w:rsid w:val="004759FE"/>
    <w:rsid w:val="0047694C"/>
    <w:rsid w:val="00477720"/>
    <w:rsid w:val="004778B2"/>
    <w:rsid w:val="00480163"/>
    <w:rsid w:val="004804AF"/>
    <w:rsid w:val="00480A4F"/>
    <w:rsid w:val="00480CAA"/>
    <w:rsid w:val="0048234F"/>
    <w:rsid w:val="004839E3"/>
    <w:rsid w:val="00483F19"/>
    <w:rsid w:val="004847F3"/>
    <w:rsid w:val="00484E47"/>
    <w:rsid w:val="004852C8"/>
    <w:rsid w:val="00485305"/>
    <w:rsid w:val="004853F8"/>
    <w:rsid w:val="0048577E"/>
    <w:rsid w:val="00485EE0"/>
    <w:rsid w:val="0048617B"/>
    <w:rsid w:val="00486295"/>
    <w:rsid w:val="004863DC"/>
    <w:rsid w:val="00486DD6"/>
    <w:rsid w:val="00486F89"/>
    <w:rsid w:val="004901E3"/>
    <w:rsid w:val="004911D0"/>
    <w:rsid w:val="004915BC"/>
    <w:rsid w:val="00493625"/>
    <w:rsid w:val="004936D2"/>
    <w:rsid w:val="00493879"/>
    <w:rsid w:val="00493D3A"/>
    <w:rsid w:val="0049414A"/>
    <w:rsid w:val="00494409"/>
    <w:rsid w:val="00497FAD"/>
    <w:rsid w:val="004A0853"/>
    <w:rsid w:val="004A0D33"/>
    <w:rsid w:val="004A0F8B"/>
    <w:rsid w:val="004A100D"/>
    <w:rsid w:val="004A1C41"/>
    <w:rsid w:val="004A2F0F"/>
    <w:rsid w:val="004A5220"/>
    <w:rsid w:val="004A55FE"/>
    <w:rsid w:val="004A56D0"/>
    <w:rsid w:val="004A584B"/>
    <w:rsid w:val="004A5FCB"/>
    <w:rsid w:val="004A6C4C"/>
    <w:rsid w:val="004B0940"/>
    <w:rsid w:val="004B0AE7"/>
    <w:rsid w:val="004B10F3"/>
    <w:rsid w:val="004B1272"/>
    <w:rsid w:val="004B1B2A"/>
    <w:rsid w:val="004B21A7"/>
    <w:rsid w:val="004B291A"/>
    <w:rsid w:val="004B3CC7"/>
    <w:rsid w:val="004B49AF"/>
    <w:rsid w:val="004B5B04"/>
    <w:rsid w:val="004B5B45"/>
    <w:rsid w:val="004B5FDC"/>
    <w:rsid w:val="004B6B19"/>
    <w:rsid w:val="004B73FF"/>
    <w:rsid w:val="004B7ACC"/>
    <w:rsid w:val="004C05F7"/>
    <w:rsid w:val="004C0F51"/>
    <w:rsid w:val="004C280F"/>
    <w:rsid w:val="004C339F"/>
    <w:rsid w:val="004C3B7E"/>
    <w:rsid w:val="004C3E55"/>
    <w:rsid w:val="004C3F03"/>
    <w:rsid w:val="004C5477"/>
    <w:rsid w:val="004C64EF"/>
    <w:rsid w:val="004C6DBD"/>
    <w:rsid w:val="004C727E"/>
    <w:rsid w:val="004C729F"/>
    <w:rsid w:val="004C73EA"/>
    <w:rsid w:val="004C7CD0"/>
    <w:rsid w:val="004D0A0B"/>
    <w:rsid w:val="004D0DE8"/>
    <w:rsid w:val="004D17F0"/>
    <w:rsid w:val="004D195B"/>
    <w:rsid w:val="004D1A7C"/>
    <w:rsid w:val="004D2ED7"/>
    <w:rsid w:val="004D4F25"/>
    <w:rsid w:val="004D5DD0"/>
    <w:rsid w:val="004D680F"/>
    <w:rsid w:val="004D69E9"/>
    <w:rsid w:val="004D71FD"/>
    <w:rsid w:val="004D7A29"/>
    <w:rsid w:val="004E000E"/>
    <w:rsid w:val="004E094A"/>
    <w:rsid w:val="004E1283"/>
    <w:rsid w:val="004E15B7"/>
    <w:rsid w:val="004E3ABC"/>
    <w:rsid w:val="004E3F84"/>
    <w:rsid w:val="004E40D8"/>
    <w:rsid w:val="004E48F3"/>
    <w:rsid w:val="004E4AF0"/>
    <w:rsid w:val="004E4BC6"/>
    <w:rsid w:val="004E5027"/>
    <w:rsid w:val="004E51E1"/>
    <w:rsid w:val="004E71BC"/>
    <w:rsid w:val="004E7692"/>
    <w:rsid w:val="004F01DC"/>
    <w:rsid w:val="004F023A"/>
    <w:rsid w:val="004F18CD"/>
    <w:rsid w:val="004F1F51"/>
    <w:rsid w:val="004F25D0"/>
    <w:rsid w:val="004F2F2B"/>
    <w:rsid w:val="004F30F5"/>
    <w:rsid w:val="004F3E76"/>
    <w:rsid w:val="004F4792"/>
    <w:rsid w:val="004F62CA"/>
    <w:rsid w:val="004F632A"/>
    <w:rsid w:val="004F7DFE"/>
    <w:rsid w:val="004F7E87"/>
    <w:rsid w:val="00500C18"/>
    <w:rsid w:val="00502BD3"/>
    <w:rsid w:val="00502ED7"/>
    <w:rsid w:val="00502F83"/>
    <w:rsid w:val="00503273"/>
    <w:rsid w:val="005033A9"/>
    <w:rsid w:val="005034F5"/>
    <w:rsid w:val="00503C77"/>
    <w:rsid w:val="00504DB7"/>
    <w:rsid w:val="00505257"/>
    <w:rsid w:val="0050556C"/>
    <w:rsid w:val="00505B89"/>
    <w:rsid w:val="00505DFF"/>
    <w:rsid w:val="005064CD"/>
    <w:rsid w:val="00506FAD"/>
    <w:rsid w:val="00510BC3"/>
    <w:rsid w:val="00511216"/>
    <w:rsid w:val="00511823"/>
    <w:rsid w:val="00511BC8"/>
    <w:rsid w:val="00512CD4"/>
    <w:rsid w:val="0051388A"/>
    <w:rsid w:val="00514815"/>
    <w:rsid w:val="00515075"/>
    <w:rsid w:val="00515642"/>
    <w:rsid w:val="005156E0"/>
    <w:rsid w:val="0051618B"/>
    <w:rsid w:val="0051678B"/>
    <w:rsid w:val="0051725D"/>
    <w:rsid w:val="00520B63"/>
    <w:rsid w:val="00521EAE"/>
    <w:rsid w:val="0052259C"/>
    <w:rsid w:val="00523A67"/>
    <w:rsid w:val="00524060"/>
    <w:rsid w:val="0052539C"/>
    <w:rsid w:val="005258CB"/>
    <w:rsid w:val="00526160"/>
    <w:rsid w:val="00527032"/>
    <w:rsid w:val="0053020C"/>
    <w:rsid w:val="00531026"/>
    <w:rsid w:val="00533E47"/>
    <w:rsid w:val="00534833"/>
    <w:rsid w:val="00534E79"/>
    <w:rsid w:val="0053581B"/>
    <w:rsid w:val="00536127"/>
    <w:rsid w:val="005379D5"/>
    <w:rsid w:val="00537B32"/>
    <w:rsid w:val="0054056C"/>
    <w:rsid w:val="00541013"/>
    <w:rsid w:val="005410E5"/>
    <w:rsid w:val="00542BDD"/>
    <w:rsid w:val="0054324E"/>
    <w:rsid w:val="005444B9"/>
    <w:rsid w:val="005532E9"/>
    <w:rsid w:val="00553C66"/>
    <w:rsid w:val="00553EC5"/>
    <w:rsid w:val="005554FB"/>
    <w:rsid w:val="00556706"/>
    <w:rsid w:val="0055726D"/>
    <w:rsid w:val="005572A3"/>
    <w:rsid w:val="005572A7"/>
    <w:rsid w:val="0055734C"/>
    <w:rsid w:val="005579F6"/>
    <w:rsid w:val="0055D92A"/>
    <w:rsid w:val="00560BB1"/>
    <w:rsid w:val="005617D9"/>
    <w:rsid w:val="0056237E"/>
    <w:rsid w:val="00562DA7"/>
    <w:rsid w:val="00563858"/>
    <w:rsid w:val="00563B70"/>
    <w:rsid w:val="005643CE"/>
    <w:rsid w:val="00565262"/>
    <w:rsid w:val="005657C6"/>
    <w:rsid w:val="00566BB1"/>
    <w:rsid w:val="00567429"/>
    <w:rsid w:val="00567E7F"/>
    <w:rsid w:val="005705C0"/>
    <w:rsid w:val="00570734"/>
    <w:rsid w:val="005711FB"/>
    <w:rsid w:val="005719B8"/>
    <w:rsid w:val="005721F1"/>
    <w:rsid w:val="005722DF"/>
    <w:rsid w:val="0057300D"/>
    <w:rsid w:val="00573FF5"/>
    <w:rsid w:val="005741D9"/>
    <w:rsid w:val="00575607"/>
    <w:rsid w:val="00575889"/>
    <w:rsid w:val="00576178"/>
    <w:rsid w:val="005779A6"/>
    <w:rsid w:val="00577E7C"/>
    <w:rsid w:val="00581060"/>
    <w:rsid w:val="0058166C"/>
    <w:rsid w:val="005822F9"/>
    <w:rsid w:val="00582690"/>
    <w:rsid w:val="005837A5"/>
    <w:rsid w:val="00583AF9"/>
    <w:rsid w:val="00583FE9"/>
    <w:rsid w:val="005852B1"/>
    <w:rsid w:val="00585EB7"/>
    <w:rsid w:val="00587497"/>
    <w:rsid w:val="00587ACD"/>
    <w:rsid w:val="0059014D"/>
    <w:rsid w:val="005926C6"/>
    <w:rsid w:val="00593046"/>
    <w:rsid w:val="0059331E"/>
    <w:rsid w:val="005938C4"/>
    <w:rsid w:val="00593FE9"/>
    <w:rsid w:val="00594C1F"/>
    <w:rsid w:val="00595257"/>
    <w:rsid w:val="005956ED"/>
    <w:rsid w:val="005970B4"/>
    <w:rsid w:val="005975AE"/>
    <w:rsid w:val="00597CBE"/>
    <w:rsid w:val="005A0243"/>
    <w:rsid w:val="005A05A1"/>
    <w:rsid w:val="005A0C9D"/>
    <w:rsid w:val="005A1120"/>
    <w:rsid w:val="005A150A"/>
    <w:rsid w:val="005A1A01"/>
    <w:rsid w:val="005A21BF"/>
    <w:rsid w:val="005A2E23"/>
    <w:rsid w:val="005A30AD"/>
    <w:rsid w:val="005A3107"/>
    <w:rsid w:val="005A4A92"/>
    <w:rsid w:val="005A52C7"/>
    <w:rsid w:val="005A5E6D"/>
    <w:rsid w:val="005A6A5B"/>
    <w:rsid w:val="005A6B57"/>
    <w:rsid w:val="005A6D41"/>
    <w:rsid w:val="005A782D"/>
    <w:rsid w:val="005A7E98"/>
    <w:rsid w:val="005B0C4D"/>
    <w:rsid w:val="005B1EB6"/>
    <w:rsid w:val="005B1EC5"/>
    <w:rsid w:val="005B45E5"/>
    <w:rsid w:val="005B463F"/>
    <w:rsid w:val="005B5F9D"/>
    <w:rsid w:val="005B75D3"/>
    <w:rsid w:val="005C050F"/>
    <w:rsid w:val="005C0EB8"/>
    <w:rsid w:val="005C143E"/>
    <w:rsid w:val="005C1945"/>
    <w:rsid w:val="005C2A9D"/>
    <w:rsid w:val="005C3E74"/>
    <w:rsid w:val="005C3EAD"/>
    <w:rsid w:val="005C41CB"/>
    <w:rsid w:val="005C5B78"/>
    <w:rsid w:val="005C7830"/>
    <w:rsid w:val="005C7E50"/>
    <w:rsid w:val="005D044C"/>
    <w:rsid w:val="005D0F33"/>
    <w:rsid w:val="005D184C"/>
    <w:rsid w:val="005D1992"/>
    <w:rsid w:val="005D205B"/>
    <w:rsid w:val="005D2178"/>
    <w:rsid w:val="005D2459"/>
    <w:rsid w:val="005D2635"/>
    <w:rsid w:val="005D2BE9"/>
    <w:rsid w:val="005D2F7B"/>
    <w:rsid w:val="005D411B"/>
    <w:rsid w:val="005D43A4"/>
    <w:rsid w:val="005D44A2"/>
    <w:rsid w:val="005D4B3C"/>
    <w:rsid w:val="005D584C"/>
    <w:rsid w:val="005D6D3E"/>
    <w:rsid w:val="005D6E3F"/>
    <w:rsid w:val="005D7349"/>
    <w:rsid w:val="005D7A9A"/>
    <w:rsid w:val="005D7E84"/>
    <w:rsid w:val="005E1FF5"/>
    <w:rsid w:val="005E214C"/>
    <w:rsid w:val="005E2659"/>
    <w:rsid w:val="005E44CC"/>
    <w:rsid w:val="005E5CFA"/>
    <w:rsid w:val="005E5DE6"/>
    <w:rsid w:val="005E6324"/>
    <w:rsid w:val="005E6C26"/>
    <w:rsid w:val="005E7007"/>
    <w:rsid w:val="005F028A"/>
    <w:rsid w:val="005F0DD5"/>
    <w:rsid w:val="005F0FD7"/>
    <w:rsid w:val="005F33AF"/>
    <w:rsid w:val="005F3E55"/>
    <w:rsid w:val="005F50DC"/>
    <w:rsid w:val="005F58BD"/>
    <w:rsid w:val="005F5CA3"/>
    <w:rsid w:val="005F69B4"/>
    <w:rsid w:val="005F6CBB"/>
    <w:rsid w:val="005F74DF"/>
    <w:rsid w:val="005F7587"/>
    <w:rsid w:val="005F7624"/>
    <w:rsid w:val="00601232"/>
    <w:rsid w:val="0060161C"/>
    <w:rsid w:val="0060366F"/>
    <w:rsid w:val="00603A91"/>
    <w:rsid w:val="0060410C"/>
    <w:rsid w:val="0060420D"/>
    <w:rsid w:val="006044D3"/>
    <w:rsid w:val="006046EF"/>
    <w:rsid w:val="00604976"/>
    <w:rsid w:val="00606C2D"/>
    <w:rsid w:val="00606F1F"/>
    <w:rsid w:val="00607AF8"/>
    <w:rsid w:val="0060AC3E"/>
    <w:rsid w:val="0061018D"/>
    <w:rsid w:val="0061082B"/>
    <w:rsid w:val="00611616"/>
    <w:rsid w:val="00612BE6"/>
    <w:rsid w:val="00613E4F"/>
    <w:rsid w:val="00614041"/>
    <w:rsid w:val="0061467C"/>
    <w:rsid w:val="00614A69"/>
    <w:rsid w:val="00615B4F"/>
    <w:rsid w:val="00615EA9"/>
    <w:rsid w:val="006171E4"/>
    <w:rsid w:val="00617FB2"/>
    <w:rsid w:val="006202B5"/>
    <w:rsid w:val="006221C2"/>
    <w:rsid w:val="006224F9"/>
    <w:rsid w:val="006247F4"/>
    <w:rsid w:val="00624DF0"/>
    <w:rsid w:val="006252D5"/>
    <w:rsid w:val="00625F63"/>
    <w:rsid w:val="00626972"/>
    <w:rsid w:val="00631F3B"/>
    <w:rsid w:val="006323FC"/>
    <w:rsid w:val="00632697"/>
    <w:rsid w:val="006356A9"/>
    <w:rsid w:val="00635976"/>
    <w:rsid w:val="00635F16"/>
    <w:rsid w:val="006365A6"/>
    <w:rsid w:val="00636C6D"/>
    <w:rsid w:val="0063737E"/>
    <w:rsid w:val="00637C43"/>
    <w:rsid w:val="006410E7"/>
    <w:rsid w:val="00643314"/>
    <w:rsid w:val="00643CF1"/>
    <w:rsid w:val="006440D9"/>
    <w:rsid w:val="00644B5D"/>
    <w:rsid w:val="00645231"/>
    <w:rsid w:val="006454A8"/>
    <w:rsid w:val="00646684"/>
    <w:rsid w:val="00647488"/>
    <w:rsid w:val="00647582"/>
    <w:rsid w:val="006475B1"/>
    <w:rsid w:val="006478B8"/>
    <w:rsid w:val="006506A9"/>
    <w:rsid w:val="00650DAD"/>
    <w:rsid w:val="0065116B"/>
    <w:rsid w:val="00651AB5"/>
    <w:rsid w:val="00652BBD"/>
    <w:rsid w:val="00653661"/>
    <w:rsid w:val="00654232"/>
    <w:rsid w:val="00654F11"/>
    <w:rsid w:val="00655442"/>
    <w:rsid w:val="00655A48"/>
    <w:rsid w:val="006570C3"/>
    <w:rsid w:val="00657AF9"/>
    <w:rsid w:val="0066016A"/>
    <w:rsid w:val="00660804"/>
    <w:rsid w:val="00660C8A"/>
    <w:rsid w:val="006617A4"/>
    <w:rsid w:val="006622AD"/>
    <w:rsid w:val="006625F6"/>
    <w:rsid w:val="006629C3"/>
    <w:rsid w:val="006648A2"/>
    <w:rsid w:val="00664A21"/>
    <w:rsid w:val="006659A1"/>
    <w:rsid w:val="00665E44"/>
    <w:rsid w:val="00665F3B"/>
    <w:rsid w:val="0066615A"/>
    <w:rsid w:val="0067034F"/>
    <w:rsid w:val="006707BB"/>
    <w:rsid w:val="006708E6"/>
    <w:rsid w:val="00670C1C"/>
    <w:rsid w:val="006723FD"/>
    <w:rsid w:val="006732CF"/>
    <w:rsid w:val="00674AAD"/>
    <w:rsid w:val="00675A2B"/>
    <w:rsid w:val="00675DD7"/>
    <w:rsid w:val="00675F3D"/>
    <w:rsid w:val="0067646C"/>
    <w:rsid w:val="006764AD"/>
    <w:rsid w:val="006765A0"/>
    <w:rsid w:val="00677A3D"/>
    <w:rsid w:val="00681391"/>
    <w:rsid w:val="0068195B"/>
    <w:rsid w:val="00681DC2"/>
    <w:rsid w:val="00681F24"/>
    <w:rsid w:val="00682561"/>
    <w:rsid w:val="00682BA6"/>
    <w:rsid w:val="00683631"/>
    <w:rsid w:val="006846FA"/>
    <w:rsid w:val="00685161"/>
    <w:rsid w:val="00685581"/>
    <w:rsid w:val="006873DA"/>
    <w:rsid w:val="0068783A"/>
    <w:rsid w:val="00687F07"/>
    <w:rsid w:val="00692D5A"/>
    <w:rsid w:val="00693515"/>
    <w:rsid w:val="006946CD"/>
    <w:rsid w:val="00694A37"/>
    <w:rsid w:val="00694AF9"/>
    <w:rsid w:val="006951C6"/>
    <w:rsid w:val="006954B4"/>
    <w:rsid w:val="00696B4A"/>
    <w:rsid w:val="00696FB9"/>
    <w:rsid w:val="006971FB"/>
    <w:rsid w:val="006973A8"/>
    <w:rsid w:val="00697713"/>
    <w:rsid w:val="00697763"/>
    <w:rsid w:val="006977FB"/>
    <w:rsid w:val="006A09B5"/>
    <w:rsid w:val="006A0C36"/>
    <w:rsid w:val="006A2161"/>
    <w:rsid w:val="006A2A4F"/>
    <w:rsid w:val="006A2B1E"/>
    <w:rsid w:val="006A4EE8"/>
    <w:rsid w:val="006A69D5"/>
    <w:rsid w:val="006A6F0F"/>
    <w:rsid w:val="006A7313"/>
    <w:rsid w:val="006B032D"/>
    <w:rsid w:val="006B1A24"/>
    <w:rsid w:val="006B1AF7"/>
    <w:rsid w:val="006B2BB0"/>
    <w:rsid w:val="006B3937"/>
    <w:rsid w:val="006B40A7"/>
    <w:rsid w:val="006B4650"/>
    <w:rsid w:val="006B5D57"/>
    <w:rsid w:val="006B695A"/>
    <w:rsid w:val="006B6C06"/>
    <w:rsid w:val="006B7AC1"/>
    <w:rsid w:val="006C103F"/>
    <w:rsid w:val="006C18E1"/>
    <w:rsid w:val="006C1D81"/>
    <w:rsid w:val="006C2AA3"/>
    <w:rsid w:val="006C502C"/>
    <w:rsid w:val="006C55F1"/>
    <w:rsid w:val="006C5E9C"/>
    <w:rsid w:val="006C68FE"/>
    <w:rsid w:val="006C6DEC"/>
    <w:rsid w:val="006C6EF9"/>
    <w:rsid w:val="006C7F38"/>
    <w:rsid w:val="006D0F75"/>
    <w:rsid w:val="006D1497"/>
    <w:rsid w:val="006D15EB"/>
    <w:rsid w:val="006D520F"/>
    <w:rsid w:val="006D52B9"/>
    <w:rsid w:val="006D5770"/>
    <w:rsid w:val="006D5BB5"/>
    <w:rsid w:val="006D67EE"/>
    <w:rsid w:val="006E042A"/>
    <w:rsid w:val="006E0EE0"/>
    <w:rsid w:val="006E2092"/>
    <w:rsid w:val="006E3E1E"/>
    <w:rsid w:val="006E4D69"/>
    <w:rsid w:val="006E608B"/>
    <w:rsid w:val="006E6352"/>
    <w:rsid w:val="006E73ED"/>
    <w:rsid w:val="006E781E"/>
    <w:rsid w:val="006F169E"/>
    <w:rsid w:val="006F1804"/>
    <w:rsid w:val="006F1A35"/>
    <w:rsid w:val="006F1ECD"/>
    <w:rsid w:val="006F265F"/>
    <w:rsid w:val="006F3211"/>
    <w:rsid w:val="006F3821"/>
    <w:rsid w:val="006F4925"/>
    <w:rsid w:val="006F4ACA"/>
    <w:rsid w:val="006F5903"/>
    <w:rsid w:val="006F6104"/>
    <w:rsid w:val="006F6CC5"/>
    <w:rsid w:val="006F7BBE"/>
    <w:rsid w:val="007003DA"/>
    <w:rsid w:val="0070041B"/>
    <w:rsid w:val="00700F3D"/>
    <w:rsid w:val="0070162A"/>
    <w:rsid w:val="007025D0"/>
    <w:rsid w:val="00702675"/>
    <w:rsid w:val="00703165"/>
    <w:rsid w:val="00703441"/>
    <w:rsid w:val="00704A93"/>
    <w:rsid w:val="00710117"/>
    <w:rsid w:val="0071037B"/>
    <w:rsid w:val="00712A63"/>
    <w:rsid w:val="00712ABD"/>
    <w:rsid w:val="00712AED"/>
    <w:rsid w:val="00713182"/>
    <w:rsid w:val="00713CEC"/>
    <w:rsid w:val="00714A88"/>
    <w:rsid w:val="00715F9D"/>
    <w:rsid w:val="00716684"/>
    <w:rsid w:val="00717A79"/>
    <w:rsid w:val="00717F24"/>
    <w:rsid w:val="0072233F"/>
    <w:rsid w:val="00723F91"/>
    <w:rsid w:val="00724760"/>
    <w:rsid w:val="00725B94"/>
    <w:rsid w:val="00725D16"/>
    <w:rsid w:val="007266CD"/>
    <w:rsid w:val="00726EC3"/>
    <w:rsid w:val="00726F9B"/>
    <w:rsid w:val="007277E3"/>
    <w:rsid w:val="00727F24"/>
    <w:rsid w:val="0073245E"/>
    <w:rsid w:val="0073670F"/>
    <w:rsid w:val="007407F1"/>
    <w:rsid w:val="0074141E"/>
    <w:rsid w:val="0074181A"/>
    <w:rsid w:val="00742179"/>
    <w:rsid w:val="00742239"/>
    <w:rsid w:val="00743861"/>
    <w:rsid w:val="00743ABD"/>
    <w:rsid w:val="00743BB4"/>
    <w:rsid w:val="00743F8A"/>
    <w:rsid w:val="0074446B"/>
    <w:rsid w:val="00745EE4"/>
    <w:rsid w:val="00747254"/>
    <w:rsid w:val="00750188"/>
    <w:rsid w:val="007512BB"/>
    <w:rsid w:val="00751A97"/>
    <w:rsid w:val="0075303C"/>
    <w:rsid w:val="007531A4"/>
    <w:rsid w:val="007540BB"/>
    <w:rsid w:val="00754BFC"/>
    <w:rsid w:val="007572C1"/>
    <w:rsid w:val="00757522"/>
    <w:rsid w:val="00761189"/>
    <w:rsid w:val="00764E1F"/>
    <w:rsid w:val="00764F25"/>
    <w:rsid w:val="0076515A"/>
    <w:rsid w:val="00766C75"/>
    <w:rsid w:val="00767BC5"/>
    <w:rsid w:val="007700A8"/>
    <w:rsid w:val="00770B55"/>
    <w:rsid w:val="00770FDD"/>
    <w:rsid w:val="00772F7C"/>
    <w:rsid w:val="00773331"/>
    <w:rsid w:val="00773D89"/>
    <w:rsid w:val="0077557B"/>
    <w:rsid w:val="00776D53"/>
    <w:rsid w:val="00777FAC"/>
    <w:rsid w:val="007808E9"/>
    <w:rsid w:val="00780EF9"/>
    <w:rsid w:val="0078101A"/>
    <w:rsid w:val="00781D11"/>
    <w:rsid w:val="00781EA1"/>
    <w:rsid w:val="00782AF2"/>
    <w:rsid w:val="00782F98"/>
    <w:rsid w:val="007840C1"/>
    <w:rsid w:val="007851A2"/>
    <w:rsid w:val="007851E8"/>
    <w:rsid w:val="007864B4"/>
    <w:rsid w:val="00786774"/>
    <w:rsid w:val="00786BA3"/>
    <w:rsid w:val="00786F72"/>
    <w:rsid w:val="007873C9"/>
    <w:rsid w:val="00790519"/>
    <w:rsid w:val="00790898"/>
    <w:rsid w:val="00791651"/>
    <w:rsid w:val="00792A42"/>
    <w:rsid w:val="007932EF"/>
    <w:rsid w:val="00793711"/>
    <w:rsid w:val="00794194"/>
    <w:rsid w:val="0079530B"/>
    <w:rsid w:val="00796434"/>
    <w:rsid w:val="007974FE"/>
    <w:rsid w:val="0079757A"/>
    <w:rsid w:val="00797E35"/>
    <w:rsid w:val="007A2349"/>
    <w:rsid w:val="007A3A48"/>
    <w:rsid w:val="007A3C3C"/>
    <w:rsid w:val="007A43A5"/>
    <w:rsid w:val="007A4B6B"/>
    <w:rsid w:val="007A4E58"/>
    <w:rsid w:val="007A58B0"/>
    <w:rsid w:val="007A5EC3"/>
    <w:rsid w:val="007B15DA"/>
    <w:rsid w:val="007B283C"/>
    <w:rsid w:val="007B28C4"/>
    <w:rsid w:val="007B3617"/>
    <w:rsid w:val="007B4636"/>
    <w:rsid w:val="007B4755"/>
    <w:rsid w:val="007B564B"/>
    <w:rsid w:val="007B63FC"/>
    <w:rsid w:val="007B66AA"/>
    <w:rsid w:val="007B697E"/>
    <w:rsid w:val="007B7885"/>
    <w:rsid w:val="007B7A70"/>
    <w:rsid w:val="007C0A10"/>
    <w:rsid w:val="007C3A7B"/>
    <w:rsid w:val="007C3E99"/>
    <w:rsid w:val="007C628F"/>
    <w:rsid w:val="007C7153"/>
    <w:rsid w:val="007C773F"/>
    <w:rsid w:val="007C7B22"/>
    <w:rsid w:val="007D0258"/>
    <w:rsid w:val="007D0A3B"/>
    <w:rsid w:val="007D0E3F"/>
    <w:rsid w:val="007D1014"/>
    <w:rsid w:val="007D1BD8"/>
    <w:rsid w:val="007D1F9A"/>
    <w:rsid w:val="007D2BCD"/>
    <w:rsid w:val="007D2E63"/>
    <w:rsid w:val="007D2FFB"/>
    <w:rsid w:val="007D44F3"/>
    <w:rsid w:val="007D649F"/>
    <w:rsid w:val="007D7656"/>
    <w:rsid w:val="007E05B0"/>
    <w:rsid w:val="007E107D"/>
    <w:rsid w:val="007E141C"/>
    <w:rsid w:val="007E1A06"/>
    <w:rsid w:val="007E1B2E"/>
    <w:rsid w:val="007E27AA"/>
    <w:rsid w:val="007E29B1"/>
    <w:rsid w:val="007E2FCB"/>
    <w:rsid w:val="007E3210"/>
    <w:rsid w:val="007E3D76"/>
    <w:rsid w:val="007E3DB9"/>
    <w:rsid w:val="007E533E"/>
    <w:rsid w:val="007F07C3"/>
    <w:rsid w:val="007F16DD"/>
    <w:rsid w:val="007F2E1E"/>
    <w:rsid w:val="007F32F7"/>
    <w:rsid w:val="007F3A8F"/>
    <w:rsid w:val="007F460B"/>
    <w:rsid w:val="007F5108"/>
    <w:rsid w:val="007F5233"/>
    <w:rsid w:val="007F531C"/>
    <w:rsid w:val="007F578D"/>
    <w:rsid w:val="007F7627"/>
    <w:rsid w:val="008005EF"/>
    <w:rsid w:val="008009F2"/>
    <w:rsid w:val="0080125E"/>
    <w:rsid w:val="0080270F"/>
    <w:rsid w:val="00804069"/>
    <w:rsid w:val="00804A70"/>
    <w:rsid w:val="00804BDB"/>
    <w:rsid w:val="00805552"/>
    <w:rsid w:val="00805701"/>
    <w:rsid w:val="00806437"/>
    <w:rsid w:val="00810ADF"/>
    <w:rsid w:val="00811353"/>
    <w:rsid w:val="0081273E"/>
    <w:rsid w:val="00813006"/>
    <w:rsid w:val="008139F4"/>
    <w:rsid w:val="008140E1"/>
    <w:rsid w:val="00814362"/>
    <w:rsid w:val="0081530A"/>
    <w:rsid w:val="008159C7"/>
    <w:rsid w:val="0081629E"/>
    <w:rsid w:val="00816970"/>
    <w:rsid w:val="00816A90"/>
    <w:rsid w:val="0081703E"/>
    <w:rsid w:val="00820491"/>
    <w:rsid w:val="00820A6D"/>
    <w:rsid w:val="00820AE7"/>
    <w:rsid w:val="00820B93"/>
    <w:rsid w:val="008219F2"/>
    <w:rsid w:val="00822A1C"/>
    <w:rsid w:val="008231CE"/>
    <w:rsid w:val="00824425"/>
    <w:rsid w:val="00826F8F"/>
    <w:rsid w:val="008274AC"/>
    <w:rsid w:val="00831F2E"/>
    <w:rsid w:val="00832CDA"/>
    <w:rsid w:val="00833068"/>
    <w:rsid w:val="00833737"/>
    <w:rsid w:val="00835428"/>
    <w:rsid w:val="00835DF9"/>
    <w:rsid w:val="00835E4D"/>
    <w:rsid w:val="00836688"/>
    <w:rsid w:val="008369B2"/>
    <w:rsid w:val="00842134"/>
    <w:rsid w:val="008424E9"/>
    <w:rsid w:val="00842EAD"/>
    <w:rsid w:val="008430B8"/>
    <w:rsid w:val="0084357F"/>
    <w:rsid w:val="00844A36"/>
    <w:rsid w:val="008451D4"/>
    <w:rsid w:val="008455EF"/>
    <w:rsid w:val="00845E04"/>
    <w:rsid w:val="008474EA"/>
    <w:rsid w:val="0085029D"/>
    <w:rsid w:val="00850FB8"/>
    <w:rsid w:val="00851D4F"/>
    <w:rsid w:val="0085276E"/>
    <w:rsid w:val="00852CB4"/>
    <w:rsid w:val="00853057"/>
    <w:rsid w:val="00853F2B"/>
    <w:rsid w:val="008545B7"/>
    <w:rsid w:val="00854746"/>
    <w:rsid w:val="00854FC0"/>
    <w:rsid w:val="00855C06"/>
    <w:rsid w:val="008561C8"/>
    <w:rsid w:val="00857785"/>
    <w:rsid w:val="008602BA"/>
    <w:rsid w:val="00860550"/>
    <w:rsid w:val="00860D8C"/>
    <w:rsid w:val="0086290B"/>
    <w:rsid w:val="00862A99"/>
    <w:rsid w:val="00862EAB"/>
    <w:rsid w:val="008632AF"/>
    <w:rsid w:val="008638FC"/>
    <w:rsid w:val="00863F58"/>
    <w:rsid w:val="008640BA"/>
    <w:rsid w:val="0086499A"/>
    <w:rsid w:val="008652BC"/>
    <w:rsid w:val="0087009D"/>
    <w:rsid w:val="0087067B"/>
    <w:rsid w:val="00870963"/>
    <w:rsid w:val="00870AAC"/>
    <w:rsid w:val="008711AE"/>
    <w:rsid w:val="00871995"/>
    <w:rsid w:val="00871DB1"/>
    <w:rsid w:val="00872B95"/>
    <w:rsid w:val="008744F4"/>
    <w:rsid w:val="00874D22"/>
    <w:rsid w:val="0087611F"/>
    <w:rsid w:val="00877D52"/>
    <w:rsid w:val="008811A2"/>
    <w:rsid w:val="00881E2A"/>
    <w:rsid w:val="00882636"/>
    <w:rsid w:val="008836EE"/>
    <w:rsid w:val="00884584"/>
    <w:rsid w:val="0088467A"/>
    <w:rsid w:val="00884C2C"/>
    <w:rsid w:val="008860EE"/>
    <w:rsid w:val="008869D6"/>
    <w:rsid w:val="00887A74"/>
    <w:rsid w:val="00887D8B"/>
    <w:rsid w:val="00887F5D"/>
    <w:rsid w:val="00890054"/>
    <w:rsid w:val="0089092C"/>
    <w:rsid w:val="00890AC3"/>
    <w:rsid w:val="00890EC9"/>
    <w:rsid w:val="008917C6"/>
    <w:rsid w:val="00891D78"/>
    <w:rsid w:val="00891E43"/>
    <w:rsid w:val="00892571"/>
    <w:rsid w:val="00894509"/>
    <w:rsid w:val="00894CB6"/>
    <w:rsid w:val="00894D9E"/>
    <w:rsid w:val="00896267"/>
    <w:rsid w:val="00896326"/>
    <w:rsid w:val="00896C4D"/>
    <w:rsid w:val="00897A89"/>
    <w:rsid w:val="008A0A7C"/>
    <w:rsid w:val="008A0C23"/>
    <w:rsid w:val="008A1029"/>
    <w:rsid w:val="008A18D4"/>
    <w:rsid w:val="008A1CF6"/>
    <w:rsid w:val="008A2914"/>
    <w:rsid w:val="008A465C"/>
    <w:rsid w:val="008A4B57"/>
    <w:rsid w:val="008A4D3D"/>
    <w:rsid w:val="008A57A5"/>
    <w:rsid w:val="008A5E9B"/>
    <w:rsid w:val="008A643E"/>
    <w:rsid w:val="008A67D0"/>
    <w:rsid w:val="008A6D80"/>
    <w:rsid w:val="008B05C3"/>
    <w:rsid w:val="008B0954"/>
    <w:rsid w:val="008B4418"/>
    <w:rsid w:val="008B5870"/>
    <w:rsid w:val="008B6ECC"/>
    <w:rsid w:val="008B76B4"/>
    <w:rsid w:val="008C021A"/>
    <w:rsid w:val="008C05FE"/>
    <w:rsid w:val="008C0EBF"/>
    <w:rsid w:val="008C151E"/>
    <w:rsid w:val="008C1A5A"/>
    <w:rsid w:val="008C2464"/>
    <w:rsid w:val="008C2729"/>
    <w:rsid w:val="008C458E"/>
    <w:rsid w:val="008C6B66"/>
    <w:rsid w:val="008C7F77"/>
    <w:rsid w:val="008D0A95"/>
    <w:rsid w:val="008D2046"/>
    <w:rsid w:val="008D2466"/>
    <w:rsid w:val="008D3199"/>
    <w:rsid w:val="008D3EB3"/>
    <w:rsid w:val="008D4DA5"/>
    <w:rsid w:val="008D50DD"/>
    <w:rsid w:val="008D522E"/>
    <w:rsid w:val="008D5BBD"/>
    <w:rsid w:val="008D5F3E"/>
    <w:rsid w:val="008D61F1"/>
    <w:rsid w:val="008D64C0"/>
    <w:rsid w:val="008D6FF2"/>
    <w:rsid w:val="008D7308"/>
    <w:rsid w:val="008E050E"/>
    <w:rsid w:val="008E05ED"/>
    <w:rsid w:val="008E0A15"/>
    <w:rsid w:val="008E124E"/>
    <w:rsid w:val="008E1A29"/>
    <w:rsid w:val="008E335C"/>
    <w:rsid w:val="008E4D8E"/>
    <w:rsid w:val="008E4E27"/>
    <w:rsid w:val="008E4FBF"/>
    <w:rsid w:val="008E5598"/>
    <w:rsid w:val="008E64FC"/>
    <w:rsid w:val="008E6912"/>
    <w:rsid w:val="008E7250"/>
    <w:rsid w:val="008E73D9"/>
    <w:rsid w:val="008E79E1"/>
    <w:rsid w:val="008F0632"/>
    <w:rsid w:val="008F0BB9"/>
    <w:rsid w:val="008F0BF9"/>
    <w:rsid w:val="008F1515"/>
    <w:rsid w:val="008F1822"/>
    <w:rsid w:val="008F212B"/>
    <w:rsid w:val="008F2434"/>
    <w:rsid w:val="008F2A6B"/>
    <w:rsid w:val="008F67EA"/>
    <w:rsid w:val="008F6A23"/>
    <w:rsid w:val="008F7626"/>
    <w:rsid w:val="008F7BCF"/>
    <w:rsid w:val="009005D8"/>
    <w:rsid w:val="00900B75"/>
    <w:rsid w:val="009013F6"/>
    <w:rsid w:val="00901736"/>
    <w:rsid w:val="0090191D"/>
    <w:rsid w:val="00901AD8"/>
    <w:rsid w:val="00902ADC"/>
    <w:rsid w:val="00903193"/>
    <w:rsid w:val="0090472A"/>
    <w:rsid w:val="00905045"/>
    <w:rsid w:val="0090512D"/>
    <w:rsid w:val="0090518C"/>
    <w:rsid w:val="00905729"/>
    <w:rsid w:val="00905AE6"/>
    <w:rsid w:val="00905C36"/>
    <w:rsid w:val="009063D1"/>
    <w:rsid w:val="00906964"/>
    <w:rsid w:val="00911127"/>
    <w:rsid w:val="009113FA"/>
    <w:rsid w:val="009126B0"/>
    <w:rsid w:val="00912A79"/>
    <w:rsid w:val="00912B0A"/>
    <w:rsid w:val="00912F09"/>
    <w:rsid w:val="0091319E"/>
    <w:rsid w:val="00913629"/>
    <w:rsid w:val="0091362A"/>
    <w:rsid w:val="009141C5"/>
    <w:rsid w:val="00915FAE"/>
    <w:rsid w:val="00917049"/>
    <w:rsid w:val="00917CFA"/>
    <w:rsid w:val="00920019"/>
    <w:rsid w:val="0092053F"/>
    <w:rsid w:val="009206A6"/>
    <w:rsid w:val="00920E69"/>
    <w:rsid w:val="00921D40"/>
    <w:rsid w:val="00922C65"/>
    <w:rsid w:val="00924157"/>
    <w:rsid w:val="00924FFF"/>
    <w:rsid w:val="00926E2C"/>
    <w:rsid w:val="00927D65"/>
    <w:rsid w:val="00930434"/>
    <w:rsid w:val="00930C00"/>
    <w:rsid w:val="00930FA3"/>
    <w:rsid w:val="009313AD"/>
    <w:rsid w:val="009317B0"/>
    <w:rsid w:val="009335ED"/>
    <w:rsid w:val="0093378E"/>
    <w:rsid w:val="0093382D"/>
    <w:rsid w:val="009339A8"/>
    <w:rsid w:val="009354DC"/>
    <w:rsid w:val="009359BF"/>
    <w:rsid w:val="009365DD"/>
    <w:rsid w:val="0093669E"/>
    <w:rsid w:val="009370BB"/>
    <w:rsid w:val="0093756B"/>
    <w:rsid w:val="00937DE0"/>
    <w:rsid w:val="00940421"/>
    <w:rsid w:val="009409A7"/>
    <w:rsid w:val="00941B73"/>
    <w:rsid w:val="00941C5D"/>
    <w:rsid w:val="00941CA6"/>
    <w:rsid w:val="00942278"/>
    <w:rsid w:val="00942825"/>
    <w:rsid w:val="00942E6C"/>
    <w:rsid w:val="00944CA1"/>
    <w:rsid w:val="00944F48"/>
    <w:rsid w:val="00945301"/>
    <w:rsid w:val="00945CE0"/>
    <w:rsid w:val="00945ED4"/>
    <w:rsid w:val="00946899"/>
    <w:rsid w:val="00947F1B"/>
    <w:rsid w:val="00950BC5"/>
    <w:rsid w:val="0095181D"/>
    <w:rsid w:val="009520FC"/>
    <w:rsid w:val="00954080"/>
    <w:rsid w:val="009550CD"/>
    <w:rsid w:val="00955504"/>
    <w:rsid w:val="009566B2"/>
    <w:rsid w:val="00956C32"/>
    <w:rsid w:val="0096048C"/>
    <w:rsid w:val="009614CB"/>
    <w:rsid w:val="009620A1"/>
    <w:rsid w:val="0096292F"/>
    <w:rsid w:val="00962CD2"/>
    <w:rsid w:val="009640E9"/>
    <w:rsid w:val="009656C3"/>
    <w:rsid w:val="00965E2C"/>
    <w:rsid w:val="009666E7"/>
    <w:rsid w:val="0097110C"/>
    <w:rsid w:val="00971D8A"/>
    <w:rsid w:val="00972027"/>
    <w:rsid w:val="00972E83"/>
    <w:rsid w:val="00973A04"/>
    <w:rsid w:val="009749F9"/>
    <w:rsid w:val="00974D36"/>
    <w:rsid w:val="009758FD"/>
    <w:rsid w:val="00975C39"/>
    <w:rsid w:val="00975FD7"/>
    <w:rsid w:val="0098392B"/>
    <w:rsid w:val="00984DC4"/>
    <w:rsid w:val="00984E57"/>
    <w:rsid w:val="009852F9"/>
    <w:rsid w:val="009869A2"/>
    <w:rsid w:val="0098780A"/>
    <w:rsid w:val="009878CC"/>
    <w:rsid w:val="00987BCB"/>
    <w:rsid w:val="00990D39"/>
    <w:rsid w:val="00991C5B"/>
    <w:rsid w:val="009923BD"/>
    <w:rsid w:val="00992E91"/>
    <w:rsid w:val="00993B17"/>
    <w:rsid w:val="00994853"/>
    <w:rsid w:val="00994D84"/>
    <w:rsid w:val="00996178"/>
    <w:rsid w:val="009962D2"/>
    <w:rsid w:val="0099632D"/>
    <w:rsid w:val="00996F01"/>
    <w:rsid w:val="00997180"/>
    <w:rsid w:val="00997B3B"/>
    <w:rsid w:val="009A0A47"/>
    <w:rsid w:val="009A1464"/>
    <w:rsid w:val="009A25AA"/>
    <w:rsid w:val="009A2A03"/>
    <w:rsid w:val="009A2EC4"/>
    <w:rsid w:val="009A3624"/>
    <w:rsid w:val="009A4D84"/>
    <w:rsid w:val="009A560C"/>
    <w:rsid w:val="009A5DD2"/>
    <w:rsid w:val="009A6205"/>
    <w:rsid w:val="009A7AF9"/>
    <w:rsid w:val="009B0B01"/>
    <w:rsid w:val="009B0FDC"/>
    <w:rsid w:val="009B1671"/>
    <w:rsid w:val="009B1757"/>
    <w:rsid w:val="009B2788"/>
    <w:rsid w:val="009B27BF"/>
    <w:rsid w:val="009B286F"/>
    <w:rsid w:val="009B2DB2"/>
    <w:rsid w:val="009B34F4"/>
    <w:rsid w:val="009B356E"/>
    <w:rsid w:val="009B4713"/>
    <w:rsid w:val="009B5B14"/>
    <w:rsid w:val="009B64B1"/>
    <w:rsid w:val="009B7AFC"/>
    <w:rsid w:val="009C01B3"/>
    <w:rsid w:val="009C0C26"/>
    <w:rsid w:val="009C0D52"/>
    <w:rsid w:val="009C18C7"/>
    <w:rsid w:val="009C1D8C"/>
    <w:rsid w:val="009C2FBD"/>
    <w:rsid w:val="009C3C44"/>
    <w:rsid w:val="009C3D79"/>
    <w:rsid w:val="009C48FA"/>
    <w:rsid w:val="009C51F9"/>
    <w:rsid w:val="009C5F59"/>
    <w:rsid w:val="009C5FD9"/>
    <w:rsid w:val="009C65EC"/>
    <w:rsid w:val="009C6E73"/>
    <w:rsid w:val="009C790B"/>
    <w:rsid w:val="009D0162"/>
    <w:rsid w:val="009D048A"/>
    <w:rsid w:val="009D08B2"/>
    <w:rsid w:val="009D0EB4"/>
    <w:rsid w:val="009D244B"/>
    <w:rsid w:val="009D291C"/>
    <w:rsid w:val="009D2C6A"/>
    <w:rsid w:val="009D3A4A"/>
    <w:rsid w:val="009D4DC5"/>
    <w:rsid w:val="009D735F"/>
    <w:rsid w:val="009D7457"/>
    <w:rsid w:val="009D7D2D"/>
    <w:rsid w:val="009E053A"/>
    <w:rsid w:val="009E1CF5"/>
    <w:rsid w:val="009E23C5"/>
    <w:rsid w:val="009E3D24"/>
    <w:rsid w:val="009E40CB"/>
    <w:rsid w:val="009E5670"/>
    <w:rsid w:val="009E6847"/>
    <w:rsid w:val="009E72AB"/>
    <w:rsid w:val="009E7FC8"/>
    <w:rsid w:val="009F1DD5"/>
    <w:rsid w:val="009F257D"/>
    <w:rsid w:val="009F3A09"/>
    <w:rsid w:val="009F4A3E"/>
    <w:rsid w:val="009F4C04"/>
    <w:rsid w:val="009F4D0F"/>
    <w:rsid w:val="009F4E21"/>
    <w:rsid w:val="009F5E9D"/>
    <w:rsid w:val="009F5ED3"/>
    <w:rsid w:val="009F6709"/>
    <w:rsid w:val="009F673B"/>
    <w:rsid w:val="009F68BE"/>
    <w:rsid w:val="009F69EF"/>
    <w:rsid w:val="009F7AC5"/>
    <w:rsid w:val="009F7ACE"/>
    <w:rsid w:val="00A033C9"/>
    <w:rsid w:val="00A033E4"/>
    <w:rsid w:val="00A03572"/>
    <w:rsid w:val="00A038F5"/>
    <w:rsid w:val="00A0465A"/>
    <w:rsid w:val="00A06CFA"/>
    <w:rsid w:val="00A12E38"/>
    <w:rsid w:val="00A12FD8"/>
    <w:rsid w:val="00A13FD5"/>
    <w:rsid w:val="00A15316"/>
    <w:rsid w:val="00A1645A"/>
    <w:rsid w:val="00A16C5A"/>
    <w:rsid w:val="00A16F87"/>
    <w:rsid w:val="00A20237"/>
    <w:rsid w:val="00A20C96"/>
    <w:rsid w:val="00A2141D"/>
    <w:rsid w:val="00A217D4"/>
    <w:rsid w:val="00A22029"/>
    <w:rsid w:val="00A23AD8"/>
    <w:rsid w:val="00A23E7A"/>
    <w:rsid w:val="00A24A1B"/>
    <w:rsid w:val="00A278A5"/>
    <w:rsid w:val="00A27967"/>
    <w:rsid w:val="00A27BC4"/>
    <w:rsid w:val="00A30279"/>
    <w:rsid w:val="00A314EF"/>
    <w:rsid w:val="00A34614"/>
    <w:rsid w:val="00A347AC"/>
    <w:rsid w:val="00A3627C"/>
    <w:rsid w:val="00A3656E"/>
    <w:rsid w:val="00A366AB"/>
    <w:rsid w:val="00A36A3F"/>
    <w:rsid w:val="00A372E9"/>
    <w:rsid w:val="00A3791A"/>
    <w:rsid w:val="00A37A6A"/>
    <w:rsid w:val="00A37DD8"/>
    <w:rsid w:val="00A4073B"/>
    <w:rsid w:val="00A40853"/>
    <w:rsid w:val="00A412DA"/>
    <w:rsid w:val="00A41447"/>
    <w:rsid w:val="00A41616"/>
    <w:rsid w:val="00A4185B"/>
    <w:rsid w:val="00A41BCB"/>
    <w:rsid w:val="00A42EDA"/>
    <w:rsid w:val="00A439C7"/>
    <w:rsid w:val="00A45B77"/>
    <w:rsid w:val="00A4706F"/>
    <w:rsid w:val="00A50FFA"/>
    <w:rsid w:val="00A5212B"/>
    <w:rsid w:val="00A52656"/>
    <w:rsid w:val="00A52737"/>
    <w:rsid w:val="00A5314D"/>
    <w:rsid w:val="00A53B38"/>
    <w:rsid w:val="00A550D2"/>
    <w:rsid w:val="00A55DE0"/>
    <w:rsid w:val="00A567F4"/>
    <w:rsid w:val="00A56A14"/>
    <w:rsid w:val="00A57D9C"/>
    <w:rsid w:val="00A616AA"/>
    <w:rsid w:val="00A62F4E"/>
    <w:rsid w:val="00A63213"/>
    <w:rsid w:val="00A6397B"/>
    <w:rsid w:val="00A63AF7"/>
    <w:rsid w:val="00A6510A"/>
    <w:rsid w:val="00A656E1"/>
    <w:rsid w:val="00A65AF3"/>
    <w:rsid w:val="00A67190"/>
    <w:rsid w:val="00A6719F"/>
    <w:rsid w:val="00A67367"/>
    <w:rsid w:val="00A673FF"/>
    <w:rsid w:val="00A67450"/>
    <w:rsid w:val="00A67726"/>
    <w:rsid w:val="00A67E25"/>
    <w:rsid w:val="00A7069A"/>
    <w:rsid w:val="00A70C88"/>
    <w:rsid w:val="00A725FC"/>
    <w:rsid w:val="00A72C1F"/>
    <w:rsid w:val="00A73909"/>
    <w:rsid w:val="00A73B70"/>
    <w:rsid w:val="00A73D64"/>
    <w:rsid w:val="00A74800"/>
    <w:rsid w:val="00A75740"/>
    <w:rsid w:val="00A7753A"/>
    <w:rsid w:val="00A8185F"/>
    <w:rsid w:val="00A819A1"/>
    <w:rsid w:val="00A81E4B"/>
    <w:rsid w:val="00A824A2"/>
    <w:rsid w:val="00A82A14"/>
    <w:rsid w:val="00A846BE"/>
    <w:rsid w:val="00A85FCF"/>
    <w:rsid w:val="00A872C7"/>
    <w:rsid w:val="00A87AD9"/>
    <w:rsid w:val="00A87C61"/>
    <w:rsid w:val="00A915F4"/>
    <w:rsid w:val="00A917FC"/>
    <w:rsid w:val="00A9186E"/>
    <w:rsid w:val="00A919E2"/>
    <w:rsid w:val="00A93852"/>
    <w:rsid w:val="00A94E77"/>
    <w:rsid w:val="00A97ED5"/>
    <w:rsid w:val="00AA0179"/>
    <w:rsid w:val="00AA059E"/>
    <w:rsid w:val="00AA2131"/>
    <w:rsid w:val="00AA217D"/>
    <w:rsid w:val="00AA2A58"/>
    <w:rsid w:val="00AA3CAF"/>
    <w:rsid w:val="00AA41D6"/>
    <w:rsid w:val="00AA4BB9"/>
    <w:rsid w:val="00AA54D1"/>
    <w:rsid w:val="00AA5E26"/>
    <w:rsid w:val="00AA622B"/>
    <w:rsid w:val="00AA6C0E"/>
    <w:rsid w:val="00AA6E07"/>
    <w:rsid w:val="00AA7CCE"/>
    <w:rsid w:val="00AB0508"/>
    <w:rsid w:val="00AB05E6"/>
    <w:rsid w:val="00AB0D72"/>
    <w:rsid w:val="00AB1CF0"/>
    <w:rsid w:val="00AB2087"/>
    <w:rsid w:val="00AB281F"/>
    <w:rsid w:val="00AB46DE"/>
    <w:rsid w:val="00AB4C9E"/>
    <w:rsid w:val="00AB61FA"/>
    <w:rsid w:val="00AB6318"/>
    <w:rsid w:val="00AB662D"/>
    <w:rsid w:val="00AB6A6A"/>
    <w:rsid w:val="00AB6FAB"/>
    <w:rsid w:val="00AB7D2A"/>
    <w:rsid w:val="00AC0F8C"/>
    <w:rsid w:val="00AC5AC5"/>
    <w:rsid w:val="00AC6A6B"/>
    <w:rsid w:val="00AC6C17"/>
    <w:rsid w:val="00AC77A6"/>
    <w:rsid w:val="00AD1948"/>
    <w:rsid w:val="00AD2275"/>
    <w:rsid w:val="00AD229A"/>
    <w:rsid w:val="00AD45C0"/>
    <w:rsid w:val="00AD5802"/>
    <w:rsid w:val="00AD595A"/>
    <w:rsid w:val="00AD62A7"/>
    <w:rsid w:val="00AD79F8"/>
    <w:rsid w:val="00AD7E07"/>
    <w:rsid w:val="00AD7FF3"/>
    <w:rsid w:val="00AE100C"/>
    <w:rsid w:val="00AE1713"/>
    <w:rsid w:val="00AE1A63"/>
    <w:rsid w:val="00AE2132"/>
    <w:rsid w:val="00AE240B"/>
    <w:rsid w:val="00AE2921"/>
    <w:rsid w:val="00AE34C9"/>
    <w:rsid w:val="00AE35DE"/>
    <w:rsid w:val="00AE3831"/>
    <w:rsid w:val="00AE5FFD"/>
    <w:rsid w:val="00AE6EF1"/>
    <w:rsid w:val="00AE72D3"/>
    <w:rsid w:val="00AE7611"/>
    <w:rsid w:val="00AF0334"/>
    <w:rsid w:val="00AF1055"/>
    <w:rsid w:val="00AF1717"/>
    <w:rsid w:val="00AF1FEF"/>
    <w:rsid w:val="00AF2C3E"/>
    <w:rsid w:val="00AF3692"/>
    <w:rsid w:val="00AF41A8"/>
    <w:rsid w:val="00AF44FF"/>
    <w:rsid w:val="00AF506D"/>
    <w:rsid w:val="00AF5574"/>
    <w:rsid w:val="00AF66AF"/>
    <w:rsid w:val="00AF6A57"/>
    <w:rsid w:val="00AF70D9"/>
    <w:rsid w:val="00AF7288"/>
    <w:rsid w:val="00AF7C9A"/>
    <w:rsid w:val="00AF7F12"/>
    <w:rsid w:val="00B005C6"/>
    <w:rsid w:val="00B01734"/>
    <w:rsid w:val="00B024C3"/>
    <w:rsid w:val="00B03123"/>
    <w:rsid w:val="00B03282"/>
    <w:rsid w:val="00B04914"/>
    <w:rsid w:val="00B04AA1"/>
    <w:rsid w:val="00B06676"/>
    <w:rsid w:val="00B06F93"/>
    <w:rsid w:val="00B06FA8"/>
    <w:rsid w:val="00B10B56"/>
    <w:rsid w:val="00B111DF"/>
    <w:rsid w:val="00B12697"/>
    <w:rsid w:val="00B12ED5"/>
    <w:rsid w:val="00B14602"/>
    <w:rsid w:val="00B1474C"/>
    <w:rsid w:val="00B152BE"/>
    <w:rsid w:val="00B157FB"/>
    <w:rsid w:val="00B1732E"/>
    <w:rsid w:val="00B17A9E"/>
    <w:rsid w:val="00B206C5"/>
    <w:rsid w:val="00B218B7"/>
    <w:rsid w:val="00B21B48"/>
    <w:rsid w:val="00B22908"/>
    <w:rsid w:val="00B22C18"/>
    <w:rsid w:val="00B240E8"/>
    <w:rsid w:val="00B24B3E"/>
    <w:rsid w:val="00B260E3"/>
    <w:rsid w:val="00B26553"/>
    <w:rsid w:val="00B26F2E"/>
    <w:rsid w:val="00B274B2"/>
    <w:rsid w:val="00B30BA4"/>
    <w:rsid w:val="00B32396"/>
    <w:rsid w:val="00B335A8"/>
    <w:rsid w:val="00B336AE"/>
    <w:rsid w:val="00B336D3"/>
    <w:rsid w:val="00B33767"/>
    <w:rsid w:val="00B3383B"/>
    <w:rsid w:val="00B33DF9"/>
    <w:rsid w:val="00B3432A"/>
    <w:rsid w:val="00B350A4"/>
    <w:rsid w:val="00B350C7"/>
    <w:rsid w:val="00B35BB8"/>
    <w:rsid w:val="00B36EA0"/>
    <w:rsid w:val="00B37716"/>
    <w:rsid w:val="00B37FDB"/>
    <w:rsid w:val="00B408A6"/>
    <w:rsid w:val="00B41E72"/>
    <w:rsid w:val="00B41EC9"/>
    <w:rsid w:val="00B420E6"/>
    <w:rsid w:val="00B4381D"/>
    <w:rsid w:val="00B4440A"/>
    <w:rsid w:val="00B45E07"/>
    <w:rsid w:val="00B46732"/>
    <w:rsid w:val="00B46959"/>
    <w:rsid w:val="00B51EF5"/>
    <w:rsid w:val="00B529DF"/>
    <w:rsid w:val="00B52D54"/>
    <w:rsid w:val="00B52E0A"/>
    <w:rsid w:val="00B566D1"/>
    <w:rsid w:val="00B601A7"/>
    <w:rsid w:val="00B61165"/>
    <w:rsid w:val="00B62966"/>
    <w:rsid w:val="00B62DFE"/>
    <w:rsid w:val="00B636D1"/>
    <w:rsid w:val="00B63EEE"/>
    <w:rsid w:val="00B64AE6"/>
    <w:rsid w:val="00B6580E"/>
    <w:rsid w:val="00B663B5"/>
    <w:rsid w:val="00B665E9"/>
    <w:rsid w:val="00B66B3E"/>
    <w:rsid w:val="00B675D6"/>
    <w:rsid w:val="00B677ED"/>
    <w:rsid w:val="00B67DD9"/>
    <w:rsid w:val="00B715BB"/>
    <w:rsid w:val="00B717AA"/>
    <w:rsid w:val="00B730E2"/>
    <w:rsid w:val="00B7426E"/>
    <w:rsid w:val="00B74A0F"/>
    <w:rsid w:val="00B752F4"/>
    <w:rsid w:val="00B7707B"/>
    <w:rsid w:val="00B77B5A"/>
    <w:rsid w:val="00B810DE"/>
    <w:rsid w:val="00B821D2"/>
    <w:rsid w:val="00B8308E"/>
    <w:rsid w:val="00B83F86"/>
    <w:rsid w:val="00B8414E"/>
    <w:rsid w:val="00B859D8"/>
    <w:rsid w:val="00B906F0"/>
    <w:rsid w:val="00B92D88"/>
    <w:rsid w:val="00B9394D"/>
    <w:rsid w:val="00B9445D"/>
    <w:rsid w:val="00B9525D"/>
    <w:rsid w:val="00B9551A"/>
    <w:rsid w:val="00B964B5"/>
    <w:rsid w:val="00B973F3"/>
    <w:rsid w:val="00BA0C7B"/>
    <w:rsid w:val="00BA1C62"/>
    <w:rsid w:val="00BA1E0A"/>
    <w:rsid w:val="00BA4C45"/>
    <w:rsid w:val="00BA5438"/>
    <w:rsid w:val="00BA5A02"/>
    <w:rsid w:val="00BA72BB"/>
    <w:rsid w:val="00BA7593"/>
    <w:rsid w:val="00BA7914"/>
    <w:rsid w:val="00BB22C9"/>
    <w:rsid w:val="00BB2488"/>
    <w:rsid w:val="00BB2920"/>
    <w:rsid w:val="00BB2AAD"/>
    <w:rsid w:val="00BB2F1A"/>
    <w:rsid w:val="00BB33FF"/>
    <w:rsid w:val="00BB3C6A"/>
    <w:rsid w:val="00BB5A0A"/>
    <w:rsid w:val="00BB5D2F"/>
    <w:rsid w:val="00BB6403"/>
    <w:rsid w:val="00BB7A6E"/>
    <w:rsid w:val="00BC0DE1"/>
    <w:rsid w:val="00BC1A8B"/>
    <w:rsid w:val="00BC2755"/>
    <w:rsid w:val="00BC2BD2"/>
    <w:rsid w:val="00BC4D39"/>
    <w:rsid w:val="00BC5AE2"/>
    <w:rsid w:val="00BC7438"/>
    <w:rsid w:val="00BC7AA4"/>
    <w:rsid w:val="00BC7BCD"/>
    <w:rsid w:val="00BC7C3A"/>
    <w:rsid w:val="00BD0971"/>
    <w:rsid w:val="00BD0A96"/>
    <w:rsid w:val="00BD0BA3"/>
    <w:rsid w:val="00BD0C11"/>
    <w:rsid w:val="00BD35B3"/>
    <w:rsid w:val="00BD41DA"/>
    <w:rsid w:val="00BD4B9F"/>
    <w:rsid w:val="00BD638B"/>
    <w:rsid w:val="00BE075A"/>
    <w:rsid w:val="00BE200A"/>
    <w:rsid w:val="00BE2157"/>
    <w:rsid w:val="00BE3AF0"/>
    <w:rsid w:val="00BE3DC2"/>
    <w:rsid w:val="00BE3F8F"/>
    <w:rsid w:val="00BE412D"/>
    <w:rsid w:val="00BE478F"/>
    <w:rsid w:val="00BE62F2"/>
    <w:rsid w:val="00BE65EB"/>
    <w:rsid w:val="00BE66E7"/>
    <w:rsid w:val="00BE6AE8"/>
    <w:rsid w:val="00BE7AE8"/>
    <w:rsid w:val="00BF011B"/>
    <w:rsid w:val="00BF054E"/>
    <w:rsid w:val="00BF2412"/>
    <w:rsid w:val="00BF2D15"/>
    <w:rsid w:val="00BF3BD8"/>
    <w:rsid w:val="00BF3C0D"/>
    <w:rsid w:val="00BF52A1"/>
    <w:rsid w:val="00BF6528"/>
    <w:rsid w:val="00BF6928"/>
    <w:rsid w:val="00BF69C7"/>
    <w:rsid w:val="00BF755A"/>
    <w:rsid w:val="00BF7F9E"/>
    <w:rsid w:val="00C0009A"/>
    <w:rsid w:val="00C01512"/>
    <w:rsid w:val="00C019C7"/>
    <w:rsid w:val="00C022FA"/>
    <w:rsid w:val="00C02674"/>
    <w:rsid w:val="00C0291F"/>
    <w:rsid w:val="00C0295D"/>
    <w:rsid w:val="00C030CA"/>
    <w:rsid w:val="00C0324A"/>
    <w:rsid w:val="00C03D9F"/>
    <w:rsid w:val="00C04DB7"/>
    <w:rsid w:val="00C058BB"/>
    <w:rsid w:val="00C05B00"/>
    <w:rsid w:val="00C07833"/>
    <w:rsid w:val="00C08BAB"/>
    <w:rsid w:val="00C1134C"/>
    <w:rsid w:val="00C12301"/>
    <w:rsid w:val="00C12A7C"/>
    <w:rsid w:val="00C1350E"/>
    <w:rsid w:val="00C13C11"/>
    <w:rsid w:val="00C149E3"/>
    <w:rsid w:val="00C15C4F"/>
    <w:rsid w:val="00C16751"/>
    <w:rsid w:val="00C177A9"/>
    <w:rsid w:val="00C17AAB"/>
    <w:rsid w:val="00C21841"/>
    <w:rsid w:val="00C21B27"/>
    <w:rsid w:val="00C225F2"/>
    <w:rsid w:val="00C22AA5"/>
    <w:rsid w:val="00C22C58"/>
    <w:rsid w:val="00C23A3E"/>
    <w:rsid w:val="00C23DE0"/>
    <w:rsid w:val="00C2437B"/>
    <w:rsid w:val="00C24A92"/>
    <w:rsid w:val="00C2547C"/>
    <w:rsid w:val="00C254D3"/>
    <w:rsid w:val="00C2627C"/>
    <w:rsid w:val="00C26E30"/>
    <w:rsid w:val="00C32733"/>
    <w:rsid w:val="00C32C14"/>
    <w:rsid w:val="00C33549"/>
    <w:rsid w:val="00C33B47"/>
    <w:rsid w:val="00C33C16"/>
    <w:rsid w:val="00C342B6"/>
    <w:rsid w:val="00C34B36"/>
    <w:rsid w:val="00C34D9C"/>
    <w:rsid w:val="00C35A4C"/>
    <w:rsid w:val="00C3639D"/>
    <w:rsid w:val="00C3732A"/>
    <w:rsid w:val="00C37507"/>
    <w:rsid w:val="00C379C6"/>
    <w:rsid w:val="00C40068"/>
    <w:rsid w:val="00C40245"/>
    <w:rsid w:val="00C41788"/>
    <w:rsid w:val="00C418EA"/>
    <w:rsid w:val="00C43A66"/>
    <w:rsid w:val="00C43D9A"/>
    <w:rsid w:val="00C453DA"/>
    <w:rsid w:val="00C4554B"/>
    <w:rsid w:val="00C456AC"/>
    <w:rsid w:val="00C46A82"/>
    <w:rsid w:val="00C46A90"/>
    <w:rsid w:val="00C47911"/>
    <w:rsid w:val="00C50204"/>
    <w:rsid w:val="00C50DCC"/>
    <w:rsid w:val="00C50DD2"/>
    <w:rsid w:val="00C50FBD"/>
    <w:rsid w:val="00C51B14"/>
    <w:rsid w:val="00C51C23"/>
    <w:rsid w:val="00C532DC"/>
    <w:rsid w:val="00C53FA5"/>
    <w:rsid w:val="00C54DCE"/>
    <w:rsid w:val="00C55E49"/>
    <w:rsid w:val="00C55EF3"/>
    <w:rsid w:val="00C56B81"/>
    <w:rsid w:val="00C5771A"/>
    <w:rsid w:val="00C608C9"/>
    <w:rsid w:val="00C6110F"/>
    <w:rsid w:val="00C61D8A"/>
    <w:rsid w:val="00C61D9A"/>
    <w:rsid w:val="00C6229D"/>
    <w:rsid w:val="00C62882"/>
    <w:rsid w:val="00C62E4E"/>
    <w:rsid w:val="00C63122"/>
    <w:rsid w:val="00C63570"/>
    <w:rsid w:val="00C653B6"/>
    <w:rsid w:val="00C655D9"/>
    <w:rsid w:val="00C65678"/>
    <w:rsid w:val="00C658CA"/>
    <w:rsid w:val="00C65916"/>
    <w:rsid w:val="00C659DB"/>
    <w:rsid w:val="00C65B78"/>
    <w:rsid w:val="00C660DB"/>
    <w:rsid w:val="00C66188"/>
    <w:rsid w:val="00C66FA0"/>
    <w:rsid w:val="00C6731A"/>
    <w:rsid w:val="00C67388"/>
    <w:rsid w:val="00C674D9"/>
    <w:rsid w:val="00C67970"/>
    <w:rsid w:val="00C679CC"/>
    <w:rsid w:val="00C7012F"/>
    <w:rsid w:val="00C70BAC"/>
    <w:rsid w:val="00C712A8"/>
    <w:rsid w:val="00C72EB7"/>
    <w:rsid w:val="00C74DC5"/>
    <w:rsid w:val="00C74EC2"/>
    <w:rsid w:val="00C750CA"/>
    <w:rsid w:val="00C759B3"/>
    <w:rsid w:val="00C75C74"/>
    <w:rsid w:val="00C763E7"/>
    <w:rsid w:val="00C764BC"/>
    <w:rsid w:val="00C76C5C"/>
    <w:rsid w:val="00C80474"/>
    <w:rsid w:val="00C81027"/>
    <w:rsid w:val="00C81583"/>
    <w:rsid w:val="00C816F4"/>
    <w:rsid w:val="00C81892"/>
    <w:rsid w:val="00C832C6"/>
    <w:rsid w:val="00C83905"/>
    <w:rsid w:val="00C83DB4"/>
    <w:rsid w:val="00C8423F"/>
    <w:rsid w:val="00C8452A"/>
    <w:rsid w:val="00C8459E"/>
    <w:rsid w:val="00C84B41"/>
    <w:rsid w:val="00C865A7"/>
    <w:rsid w:val="00C878D7"/>
    <w:rsid w:val="00C90433"/>
    <w:rsid w:val="00C9044C"/>
    <w:rsid w:val="00C904BA"/>
    <w:rsid w:val="00C9270E"/>
    <w:rsid w:val="00C92ECA"/>
    <w:rsid w:val="00C93274"/>
    <w:rsid w:val="00C9456E"/>
    <w:rsid w:val="00C95F3E"/>
    <w:rsid w:val="00C97BE0"/>
    <w:rsid w:val="00CA041C"/>
    <w:rsid w:val="00CA2709"/>
    <w:rsid w:val="00CA3372"/>
    <w:rsid w:val="00CA3717"/>
    <w:rsid w:val="00CA3C58"/>
    <w:rsid w:val="00CA57A8"/>
    <w:rsid w:val="00CA6211"/>
    <w:rsid w:val="00CA6EB2"/>
    <w:rsid w:val="00CA7152"/>
    <w:rsid w:val="00CA7B1F"/>
    <w:rsid w:val="00CB1294"/>
    <w:rsid w:val="00CB14BB"/>
    <w:rsid w:val="00CB2004"/>
    <w:rsid w:val="00CB2488"/>
    <w:rsid w:val="00CB3555"/>
    <w:rsid w:val="00CB3D06"/>
    <w:rsid w:val="00CB4F13"/>
    <w:rsid w:val="00CB677D"/>
    <w:rsid w:val="00CB6805"/>
    <w:rsid w:val="00CB77CF"/>
    <w:rsid w:val="00CB7FF8"/>
    <w:rsid w:val="00CC0D4C"/>
    <w:rsid w:val="00CC1735"/>
    <w:rsid w:val="00CC2397"/>
    <w:rsid w:val="00CC244A"/>
    <w:rsid w:val="00CC262A"/>
    <w:rsid w:val="00CC2726"/>
    <w:rsid w:val="00CC3866"/>
    <w:rsid w:val="00CC3A7A"/>
    <w:rsid w:val="00CC3EEA"/>
    <w:rsid w:val="00CC4072"/>
    <w:rsid w:val="00CC40C5"/>
    <w:rsid w:val="00CC42F9"/>
    <w:rsid w:val="00CC4559"/>
    <w:rsid w:val="00CC5378"/>
    <w:rsid w:val="00CC633B"/>
    <w:rsid w:val="00CC68DE"/>
    <w:rsid w:val="00CC6BFB"/>
    <w:rsid w:val="00CC6DF7"/>
    <w:rsid w:val="00CC71D7"/>
    <w:rsid w:val="00CD2172"/>
    <w:rsid w:val="00CD25FF"/>
    <w:rsid w:val="00CD2C7F"/>
    <w:rsid w:val="00CD3814"/>
    <w:rsid w:val="00CD4412"/>
    <w:rsid w:val="00CD498F"/>
    <w:rsid w:val="00CD4A62"/>
    <w:rsid w:val="00CD56FC"/>
    <w:rsid w:val="00CD5AC5"/>
    <w:rsid w:val="00CD5ADB"/>
    <w:rsid w:val="00CD5F16"/>
    <w:rsid w:val="00CD6BB6"/>
    <w:rsid w:val="00CE0822"/>
    <w:rsid w:val="00CE1201"/>
    <w:rsid w:val="00CE1851"/>
    <w:rsid w:val="00CE1D3B"/>
    <w:rsid w:val="00CE1E81"/>
    <w:rsid w:val="00CE36FF"/>
    <w:rsid w:val="00CE376A"/>
    <w:rsid w:val="00CE440E"/>
    <w:rsid w:val="00CE4577"/>
    <w:rsid w:val="00CE4FFC"/>
    <w:rsid w:val="00CE59C6"/>
    <w:rsid w:val="00CE63B7"/>
    <w:rsid w:val="00CE78C7"/>
    <w:rsid w:val="00CE7B10"/>
    <w:rsid w:val="00CF1299"/>
    <w:rsid w:val="00CF1983"/>
    <w:rsid w:val="00CF24BF"/>
    <w:rsid w:val="00CF2DFE"/>
    <w:rsid w:val="00CF3052"/>
    <w:rsid w:val="00CF40F4"/>
    <w:rsid w:val="00CF4E52"/>
    <w:rsid w:val="00CF7A35"/>
    <w:rsid w:val="00CF7F0F"/>
    <w:rsid w:val="00D01233"/>
    <w:rsid w:val="00D016D4"/>
    <w:rsid w:val="00D01731"/>
    <w:rsid w:val="00D02A16"/>
    <w:rsid w:val="00D02E20"/>
    <w:rsid w:val="00D03ABB"/>
    <w:rsid w:val="00D03CFB"/>
    <w:rsid w:val="00D059D8"/>
    <w:rsid w:val="00D07241"/>
    <w:rsid w:val="00D115A1"/>
    <w:rsid w:val="00D11F4D"/>
    <w:rsid w:val="00D132B2"/>
    <w:rsid w:val="00D13995"/>
    <w:rsid w:val="00D147C0"/>
    <w:rsid w:val="00D1482E"/>
    <w:rsid w:val="00D16D75"/>
    <w:rsid w:val="00D17309"/>
    <w:rsid w:val="00D20381"/>
    <w:rsid w:val="00D20BB2"/>
    <w:rsid w:val="00D20C42"/>
    <w:rsid w:val="00D22277"/>
    <w:rsid w:val="00D222D6"/>
    <w:rsid w:val="00D2542E"/>
    <w:rsid w:val="00D2560A"/>
    <w:rsid w:val="00D258D9"/>
    <w:rsid w:val="00D269A1"/>
    <w:rsid w:val="00D3046C"/>
    <w:rsid w:val="00D30C5A"/>
    <w:rsid w:val="00D3146E"/>
    <w:rsid w:val="00D31987"/>
    <w:rsid w:val="00D327D9"/>
    <w:rsid w:val="00D34066"/>
    <w:rsid w:val="00D351B2"/>
    <w:rsid w:val="00D36E6C"/>
    <w:rsid w:val="00D36ED8"/>
    <w:rsid w:val="00D36F53"/>
    <w:rsid w:val="00D4058F"/>
    <w:rsid w:val="00D407BA"/>
    <w:rsid w:val="00D412D9"/>
    <w:rsid w:val="00D41310"/>
    <w:rsid w:val="00D4198D"/>
    <w:rsid w:val="00D4231A"/>
    <w:rsid w:val="00D42FB4"/>
    <w:rsid w:val="00D43898"/>
    <w:rsid w:val="00D44A4E"/>
    <w:rsid w:val="00D4516C"/>
    <w:rsid w:val="00D45DAA"/>
    <w:rsid w:val="00D461FD"/>
    <w:rsid w:val="00D46792"/>
    <w:rsid w:val="00D47362"/>
    <w:rsid w:val="00D47C06"/>
    <w:rsid w:val="00D5054A"/>
    <w:rsid w:val="00D50C7A"/>
    <w:rsid w:val="00D5184D"/>
    <w:rsid w:val="00D5222F"/>
    <w:rsid w:val="00D525A6"/>
    <w:rsid w:val="00D52E9F"/>
    <w:rsid w:val="00D53338"/>
    <w:rsid w:val="00D534C3"/>
    <w:rsid w:val="00D544ED"/>
    <w:rsid w:val="00D55D64"/>
    <w:rsid w:val="00D56F8C"/>
    <w:rsid w:val="00D57FDE"/>
    <w:rsid w:val="00D60590"/>
    <w:rsid w:val="00D62139"/>
    <w:rsid w:val="00D64521"/>
    <w:rsid w:val="00D65027"/>
    <w:rsid w:val="00D6538D"/>
    <w:rsid w:val="00D65FAB"/>
    <w:rsid w:val="00D65FDE"/>
    <w:rsid w:val="00D66985"/>
    <w:rsid w:val="00D66A3F"/>
    <w:rsid w:val="00D6785B"/>
    <w:rsid w:val="00D67EDD"/>
    <w:rsid w:val="00D707CA"/>
    <w:rsid w:val="00D71B31"/>
    <w:rsid w:val="00D72C49"/>
    <w:rsid w:val="00D72F24"/>
    <w:rsid w:val="00D72F48"/>
    <w:rsid w:val="00D73FD7"/>
    <w:rsid w:val="00D748DF"/>
    <w:rsid w:val="00D750FB"/>
    <w:rsid w:val="00D7527D"/>
    <w:rsid w:val="00D7531E"/>
    <w:rsid w:val="00D75571"/>
    <w:rsid w:val="00D75783"/>
    <w:rsid w:val="00D763F1"/>
    <w:rsid w:val="00D765B8"/>
    <w:rsid w:val="00D76FA3"/>
    <w:rsid w:val="00D809D5"/>
    <w:rsid w:val="00D81F74"/>
    <w:rsid w:val="00D83905"/>
    <w:rsid w:val="00D84138"/>
    <w:rsid w:val="00D85274"/>
    <w:rsid w:val="00D8648F"/>
    <w:rsid w:val="00D9007E"/>
    <w:rsid w:val="00D90109"/>
    <w:rsid w:val="00D90537"/>
    <w:rsid w:val="00D90770"/>
    <w:rsid w:val="00D918BA"/>
    <w:rsid w:val="00D92160"/>
    <w:rsid w:val="00D92995"/>
    <w:rsid w:val="00D92F80"/>
    <w:rsid w:val="00D948A7"/>
    <w:rsid w:val="00D94F87"/>
    <w:rsid w:val="00D955EC"/>
    <w:rsid w:val="00D9575A"/>
    <w:rsid w:val="00D96761"/>
    <w:rsid w:val="00D967E5"/>
    <w:rsid w:val="00D97A08"/>
    <w:rsid w:val="00D97C3E"/>
    <w:rsid w:val="00DA01DE"/>
    <w:rsid w:val="00DA274A"/>
    <w:rsid w:val="00DA3781"/>
    <w:rsid w:val="00DA3857"/>
    <w:rsid w:val="00DA4795"/>
    <w:rsid w:val="00DA4F53"/>
    <w:rsid w:val="00DA5383"/>
    <w:rsid w:val="00DA595D"/>
    <w:rsid w:val="00DA6962"/>
    <w:rsid w:val="00DA69AD"/>
    <w:rsid w:val="00DA6DDC"/>
    <w:rsid w:val="00DA74F9"/>
    <w:rsid w:val="00DB03E6"/>
    <w:rsid w:val="00DB29A9"/>
    <w:rsid w:val="00DB2AF5"/>
    <w:rsid w:val="00DB6021"/>
    <w:rsid w:val="00DB6708"/>
    <w:rsid w:val="00DB6EF4"/>
    <w:rsid w:val="00DB7435"/>
    <w:rsid w:val="00DC030F"/>
    <w:rsid w:val="00DC1013"/>
    <w:rsid w:val="00DC1CBC"/>
    <w:rsid w:val="00DC249B"/>
    <w:rsid w:val="00DC3932"/>
    <w:rsid w:val="00DC530B"/>
    <w:rsid w:val="00DC722C"/>
    <w:rsid w:val="00DC7AD6"/>
    <w:rsid w:val="00DC7D19"/>
    <w:rsid w:val="00DC7D67"/>
    <w:rsid w:val="00DD0F37"/>
    <w:rsid w:val="00DD1F50"/>
    <w:rsid w:val="00DD23A4"/>
    <w:rsid w:val="00DD3DDB"/>
    <w:rsid w:val="00DD4444"/>
    <w:rsid w:val="00DD4F47"/>
    <w:rsid w:val="00DD5E1F"/>
    <w:rsid w:val="00DD6615"/>
    <w:rsid w:val="00DE1872"/>
    <w:rsid w:val="00DE2C57"/>
    <w:rsid w:val="00DE3BC7"/>
    <w:rsid w:val="00DE5E39"/>
    <w:rsid w:val="00DE60FB"/>
    <w:rsid w:val="00DE61F4"/>
    <w:rsid w:val="00DE6760"/>
    <w:rsid w:val="00DE69D9"/>
    <w:rsid w:val="00DF0575"/>
    <w:rsid w:val="00DF3423"/>
    <w:rsid w:val="00DF350B"/>
    <w:rsid w:val="00DF3ECA"/>
    <w:rsid w:val="00DF44C6"/>
    <w:rsid w:val="00DF4944"/>
    <w:rsid w:val="00DF49DC"/>
    <w:rsid w:val="00DF4B25"/>
    <w:rsid w:val="00DF4D1E"/>
    <w:rsid w:val="00DF56AC"/>
    <w:rsid w:val="00DF585F"/>
    <w:rsid w:val="00E01C0B"/>
    <w:rsid w:val="00E02E24"/>
    <w:rsid w:val="00E03AFD"/>
    <w:rsid w:val="00E04AC8"/>
    <w:rsid w:val="00E04C21"/>
    <w:rsid w:val="00E04C7C"/>
    <w:rsid w:val="00E05AB8"/>
    <w:rsid w:val="00E06334"/>
    <w:rsid w:val="00E06E19"/>
    <w:rsid w:val="00E06ED6"/>
    <w:rsid w:val="00E074E6"/>
    <w:rsid w:val="00E12468"/>
    <w:rsid w:val="00E12AB5"/>
    <w:rsid w:val="00E12CF6"/>
    <w:rsid w:val="00E1481F"/>
    <w:rsid w:val="00E151C0"/>
    <w:rsid w:val="00E15BC1"/>
    <w:rsid w:val="00E16833"/>
    <w:rsid w:val="00E16C09"/>
    <w:rsid w:val="00E16F1D"/>
    <w:rsid w:val="00E20097"/>
    <w:rsid w:val="00E21AF1"/>
    <w:rsid w:val="00E21D99"/>
    <w:rsid w:val="00E22325"/>
    <w:rsid w:val="00E2262D"/>
    <w:rsid w:val="00E22A6E"/>
    <w:rsid w:val="00E250A4"/>
    <w:rsid w:val="00E253DB"/>
    <w:rsid w:val="00E279C1"/>
    <w:rsid w:val="00E302FC"/>
    <w:rsid w:val="00E30B1E"/>
    <w:rsid w:val="00E30FA2"/>
    <w:rsid w:val="00E32879"/>
    <w:rsid w:val="00E33748"/>
    <w:rsid w:val="00E34F1C"/>
    <w:rsid w:val="00E35EBA"/>
    <w:rsid w:val="00E3621C"/>
    <w:rsid w:val="00E36240"/>
    <w:rsid w:val="00E3656B"/>
    <w:rsid w:val="00E37002"/>
    <w:rsid w:val="00E40974"/>
    <w:rsid w:val="00E40A9D"/>
    <w:rsid w:val="00E4129B"/>
    <w:rsid w:val="00E41F16"/>
    <w:rsid w:val="00E42D0A"/>
    <w:rsid w:val="00E43027"/>
    <w:rsid w:val="00E45762"/>
    <w:rsid w:val="00E45843"/>
    <w:rsid w:val="00E45BB5"/>
    <w:rsid w:val="00E46696"/>
    <w:rsid w:val="00E4727F"/>
    <w:rsid w:val="00E473E5"/>
    <w:rsid w:val="00E47DC8"/>
    <w:rsid w:val="00E50BC0"/>
    <w:rsid w:val="00E51E42"/>
    <w:rsid w:val="00E52FE1"/>
    <w:rsid w:val="00E539D4"/>
    <w:rsid w:val="00E5443E"/>
    <w:rsid w:val="00E547E6"/>
    <w:rsid w:val="00E55FA8"/>
    <w:rsid w:val="00E56E21"/>
    <w:rsid w:val="00E6053D"/>
    <w:rsid w:val="00E61A9F"/>
    <w:rsid w:val="00E622A8"/>
    <w:rsid w:val="00E625B8"/>
    <w:rsid w:val="00E62971"/>
    <w:rsid w:val="00E62D94"/>
    <w:rsid w:val="00E62EEF"/>
    <w:rsid w:val="00E719CE"/>
    <w:rsid w:val="00E71C71"/>
    <w:rsid w:val="00E720DA"/>
    <w:rsid w:val="00E7214B"/>
    <w:rsid w:val="00E721AC"/>
    <w:rsid w:val="00E7286A"/>
    <w:rsid w:val="00E72984"/>
    <w:rsid w:val="00E73573"/>
    <w:rsid w:val="00E73A35"/>
    <w:rsid w:val="00E74213"/>
    <w:rsid w:val="00E74725"/>
    <w:rsid w:val="00E750DA"/>
    <w:rsid w:val="00E75149"/>
    <w:rsid w:val="00E75EE4"/>
    <w:rsid w:val="00E761D7"/>
    <w:rsid w:val="00E804A7"/>
    <w:rsid w:val="00E818EC"/>
    <w:rsid w:val="00E81962"/>
    <w:rsid w:val="00E81EDA"/>
    <w:rsid w:val="00E8201D"/>
    <w:rsid w:val="00E8346E"/>
    <w:rsid w:val="00E83C8A"/>
    <w:rsid w:val="00E8703F"/>
    <w:rsid w:val="00E8718A"/>
    <w:rsid w:val="00E9055C"/>
    <w:rsid w:val="00E90FF8"/>
    <w:rsid w:val="00E91026"/>
    <w:rsid w:val="00E91F7E"/>
    <w:rsid w:val="00E924F3"/>
    <w:rsid w:val="00E92659"/>
    <w:rsid w:val="00E929F0"/>
    <w:rsid w:val="00E92B60"/>
    <w:rsid w:val="00E92DA0"/>
    <w:rsid w:val="00E94D60"/>
    <w:rsid w:val="00E95DD7"/>
    <w:rsid w:val="00E95EA2"/>
    <w:rsid w:val="00E96CF1"/>
    <w:rsid w:val="00E97668"/>
    <w:rsid w:val="00E97B87"/>
    <w:rsid w:val="00E97DCD"/>
    <w:rsid w:val="00EA094B"/>
    <w:rsid w:val="00EA0AD7"/>
    <w:rsid w:val="00EA314D"/>
    <w:rsid w:val="00EA326A"/>
    <w:rsid w:val="00EA3F47"/>
    <w:rsid w:val="00EA5DC4"/>
    <w:rsid w:val="00EA60C8"/>
    <w:rsid w:val="00EA76D6"/>
    <w:rsid w:val="00EA7CBD"/>
    <w:rsid w:val="00EB038E"/>
    <w:rsid w:val="00EB1A88"/>
    <w:rsid w:val="00EB3715"/>
    <w:rsid w:val="00EB391E"/>
    <w:rsid w:val="00EB3D15"/>
    <w:rsid w:val="00EB563D"/>
    <w:rsid w:val="00EB587D"/>
    <w:rsid w:val="00EB647D"/>
    <w:rsid w:val="00EB67F8"/>
    <w:rsid w:val="00EB6CF6"/>
    <w:rsid w:val="00EB6D8A"/>
    <w:rsid w:val="00EB71EC"/>
    <w:rsid w:val="00EC03E7"/>
    <w:rsid w:val="00EC04E6"/>
    <w:rsid w:val="00EC0DE8"/>
    <w:rsid w:val="00EC2738"/>
    <w:rsid w:val="00EC4282"/>
    <w:rsid w:val="00EC4B4B"/>
    <w:rsid w:val="00EC5211"/>
    <w:rsid w:val="00EC58AB"/>
    <w:rsid w:val="00EC67E6"/>
    <w:rsid w:val="00EC6F41"/>
    <w:rsid w:val="00EC76F8"/>
    <w:rsid w:val="00ED027F"/>
    <w:rsid w:val="00ED21B3"/>
    <w:rsid w:val="00ED2601"/>
    <w:rsid w:val="00ED3D41"/>
    <w:rsid w:val="00ED5770"/>
    <w:rsid w:val="00ED69DF"/>
    <w:rsid w:val="00ED6B8E"/>
    <w:rsid w:val="00ED6D69"/>
    <w:rsid w:val="00ED7D2F"/>
    <w:rsid w:val="00EE080B"/>
    <w:rsid w:val="00EE0CAF"/>
    <w:rsid w:val="00EE0E8F"/>
    <w:rsid w:val="00EE2594"/>
    <w:rsid w:val="00EE2B52"/>
    <w:rsid w:val="00EE3CE7"/>
    <w:rsid w:val="00EE4EAB"/>
    <w:rsid w:val="00EE5D35"/>
    <w:rsid w:val="00EE7724"/>
    <w:rsid w:val="00EF0329"/>
    <w:rsid w:val="00EF0994"/>
    <w:rsid w:val="00EF161F"/>
    <w:rsid w:val="00EF177B"/>
    <w:rsid w:val="00EF17E8"/>
    <w:rsid w:val="00EF1D24"/>
    <w:rsid w:val="00EF2E27"/>
    <w:rsid w:val="00EF3DBD"/>
    <w:rsid w:val="00EF56F3"/>
    <w:rsid w:val="00EF57A6"/>
    <w:rsid w:val="00EF7309"/>
    <w:rsid w:val="00EF777E"/>
    <w:rsid w:val="00EF7953"/>
    <w:rsid w:val="00EF79F9"/>
    <w:rsid w:val="00EF7DCA"/>
    <w:rsid w:val="00F003D6"/>
    <w:rsid w:val="00F00455"/>
    <w:rsid w:val="00F00641"/>
    <w:rsid w:val="00F0066D"/>
    <w:rsid w:val="00F020E3"/>
    <w:rsid w:val="00F033EA"/>
    <w:rsid w:val="00F04654"/>
    <w:rsid w:val="00F04B38"/>
    <w:rsid w:val="00F04B79"/>
    <w:rsid w:val="00F05BA2"/>
    <w:rsid w:val="00F05ECC"/>
    <w:rsid w:val="00F060C4"/>
    <w:rsid w:val="00F06D45"/>
    <w:rsid w:val="00F06E9D"/>
    <w:rsid w:val="00F070DD"/>
    <w:rsid w:val="00F07277"/>
    <w:rsid w:val="00F11494"/>
    <w:rsid w:val="00F1379C"/>
    <w:rsid w:val="00F138FE"/>
    <w:rsid w:val="00F13CD8"/>
    <w:rsid w:val="00F146F8"/>
    <w:rsid w:val="00F14B8D"/>
    <w:rsid w:val="00F14F5A"/>
    <w:rsid w:val="00F15541"/>
    <w:rsid w:val="00F15F61"/>
    <w:rsid w:val="00F16EA7"/>
    <w:rsid w:val="00F16FCD"/>
    <w:rsid w:val="00F1792E"/>
    <w:rsid w:val="00F20438"/>
    <w:rsid w:val="00F20E1F"/>
    <w:rsid w:val="00F20E97"/>
    <w:rsid w:val="00F212D8"/>
    <w:rsid w:val="00F2196B"/>
    <w:rsid w:val="00F22A45"/>
    <w:rsid w:val="00F232D0"/>
    <w:rsid w:val="00F239C6"/>
    <w:rsid w:val="00F244BA"/>
    <w:rsid w:val="00F24914"/>
    <w:rsid w:val="00F24A7E"/>
    <w:rsid w:val="00F24F71"/>
    <w:rsid w:val="00F25949"/>
    <w:rsid w:val="00F25BE0"/>
    <w:rsid w:val="00F265EF"/>
    <w:rsid w:val="00F26EF6"/>
    <w:rsid w:val="00F27435"/>
    <w:rsid w:val="00F277D7"/>
    <w:rsid w:val="00F324F9"/>
    <w:rsid w:val="00F32D07"/>
    <w:rsid w:val="00F333F1"/>
    <w:rsid w:val="00F336F5"/>
    <w:rsid w:val="00F34776"/>
    <w:rsid w:val="00F34EAB"/>
    <w:rsid w:val="00F35182"/>
    <w:rsid w:val="00F35464"/>
    <w:rsid w:val="00F35CFD"/>
    <w:rsid w:val="00F36113"/>
    <w:rsid w:val="00F37E4E"/>
    <w:rsid w:val="00F40DA0"/>
    <w:rsid w:val="00F4269C"/>
    <w:rsid w:val="00F430F2"/>
    <w:rsid w:val="00F4450A"/>
    <w:rsid w:val="00F44982"/>
    <w:rsid w:val="00F45B0F"/>
    <w:rsid w:val="00F46CDD"/>
    <w:rsid w:val="00F47BF4"/>
    <w:rsid w:val="00F4B0F0"/>
    <w:rsid w:val="00F5231D"/>
    <w:rsid w:val="00F532F5"/>
    <w:rsid w:val="00F534A6"/>
    <w:rsid w:val="00F54875"/>
    <w:rsid w:val="00F56C36"/>
    <w:rsid w:val="00F571E6"/>
    <w:rsid w:val="00F57D89"/>
    <w:rsid w:val="00F60176"/>
    <w:rsid w:val="00F620F6"/>
    <w:rsid w:val="00F626E8"/>
    <w:rsid w:val="00F62AFE"/>
    <w:rsid w:val="00F62B0B"/>
    <w:rsid w:val="00F646B0"/>
    <w:rsid w:val="00F64892"/>
    <w:rsid w:val="00F64AA3"/>
    <w:rsid w:val="00F6607D"/>
    <w:rsid w:val="00F66463"/>
    <w:rsid w:val="00F70096"/>
    <w:rsid w:val="00F7034D"/>
    <w:rsid w:val="00F70408"/>
    <w:rsid w:val="00F70CC5"/>
    <w:rsid w:val="00F71A68"/>
    <w:rsid w:val="00F7218A"/>
    <w:rsid w:val="00F72598"/>
    <w:rsid w:val="00F73760"/>
    <w:rsid w:val="00F73A88"/>
    <w:rsid w:val="00F74548"/>
    <w:rsid w:val="00F747AB"/>
    <w:rsid w:val="00F74C35"/>
    <w:rsid w:val="00F75949"/>
    <w:rsid w:val="00F76B6B"/>
    <w:rsid w:val="00F76E93"/>
    <w:rsid w:val="00F76EB9"/>
    <w:rsid w:val="00F77263"/>
    <w:rsid w:val="00F77DFD"/>
    <w:rsid w:val="00F806A3"/>
    <w:rsid w:val="00F80C56"/>
    <w:rsid w:val="00F81653"/>
    <w:rsid w:val="00F81CF4"/>
    <w:rsid w:val="00F82FC0"/>
    <w:rsid w:val="00F83C6B"/>
    <w:rsid w:val="00F83CBD"/>
    <w:rsid w:val="00F83E9B"/>
    <w:rsid w:val="00F8560C"/>
    <w:rsid w:val="00F85B03"/>
    <w:rsid w:val="00F85D40"/>
    <w:rsid w:val="00F865E0"/>
    <w:rsid w:val="00F867CC"/>
    <w:rsid w:val="00F86B89"/>
    <w:rsid w:val="00F86EE2"/>
    <w:rsid w:val="00F90D6F"/>
    <w:rsid w:val="00F91269"/>
    <w:rsid w:val="00F91C4B"/>
    <w:rsid w:val="00F91D56"/>
    <w:rsid w:val="00F92B5C"/>
    <w:rsid w:val="00F934DF"/>
    <w:rsid w:val="00F93D31"/>
    <w:rsid w:val="00F94406"/>
    <w:rsid w:val="00F95055"/>
    <w:rsid w:val="00F95101"/>
    <w:rsid w:val="00F95804"/>
    <w:rsid w:val="00F961A2"/>
    <w:rsid w:val="00F96A4E"/>
    <w:rsid w:val="00F97A4F"/>
    <w:rsid w:val="00FA03D3"/>
    <w:rsid w:val="00FA07E6"/>
    <w:rsid w:val="00FA1762"/>
    <w:rsid w:val="00FA1C79"/>
    <w:rsid w:val="00FA1C86"/>
    <w:rsid w:val="00FA20FE"/>
    <w:rsid w:val="00FA27C0"/>
    <w:rsid w:val="00FA2E1E"/>
    <w:rsid w:val="00FA3723"/>
    <w:rsid w:val="00FA5271"/>
    <w:rsid w:val="00FA5512"/>
    <w:rsid w:val="00FA5873"/>
    <w:rsid w:val="00FA61DC"/>
    <w:rsid w:val="00FA790D"/>
    <w:rsid w:val="00FA7ED2"/>
    <w:rsid w:val="00FB0F2B"/>
    <w:rsid w:val="00FB249D"/>
    <w:rsid w:val="00FB4557"/>
    <w:rsid w:val="00FB58C0"/>
    <w:rsid w:val="00FB5BCB"/>
    <w:rsid w:val="00FB66F9"/>
    <w:rsid w:val="00FC1113"/>
    <w:rsid w:val="00FC2965"/>
    <w:rsid w:val="00FC2A74"/>
    <w:rsid w:val="00FC38F8"/>
    <w:rsid w:val="00FC3C4C"/>
    <w:rsid w:val="00FC3F79"/>
    <w:rsid w:val="00FC5339"/>
    <w:rsid w:val="00FC649E"/>
    <w:rsid w:val="00FC673E"/>
    <w:rsid w:val="00FC6FBF"/>
    <w:rsid w:val="00FC742B"/>
    <w:rsid w:val="00FC76CA"/>
    <w:rsid w:val="00FC7A97"/>
    <w:rsid w:val="00FD01A7"/>
    <w:rsid w:val="00FD051A"/>
    <w:rsid w:val="00FD16F6"/>
    <w:rsid w:val="00FD17DD"/>
    <w:rsid w:val="00FD4DC2"/>
    <w:rsid w:val="00FD5802"/>
    <w:rsid w:val="00FD6226"/>
    <w:rsid w:val="00FD6D3D"/>
    <w:rsid w:val="00FD7309"/>
    <w:rsid w:val="00FE0439"/>
    <w:rsid w:val="00FE2F6E"/>
    <w:rsid w:val="00FE312C"/>
    <w:rsid w:val="00FE3316"/>
    <w:rsid w:val="00FE3DEB"/>
    <w:rsid w:val="00FE3FBA"/>
    <w:rsid w:val="00FE4490"/>
    <w:rsid w:val="00FE4AF8"/>
    <w:rsid w:val="00FE5401"/>
    <w:rsid w:val="00FE5C64"/>
    <w:rsid w:val="00FE6EF3"/>
    <w:rsid w:val="00FE6FF9"/>
    <w:rsid w:val="00FE7134"/>
    <w:rsid w:val="00FF0962"/>
    <w:rsid w:val="00FF11CC"/>
    <w:rsid w:val="00FF1729"/>
    <w:rsid w:val="00FF193A"/>
    <w:rsid w:val="00FF19AD"/>
    <w:rsid w:val="00FF2960"/>
    <w:rsid w:val="00FF2ED8"/>
    <w:rsid w:val="00FF371A"/>
    <w:rsid w:val="00FF3782"/>
    <w:rsid w:val="00FF4463"/>
    <w:rsid w:val="00FF58E4"/>
    <w:rsid w:val="00FF5F93"/>
    <w:rsid w:val="00FF6C2A"/>
    <w:rsid w:val="00FF7338"/>
    <w:rsid w:val="00FF793D"/>
    <w:rsid w:val="00FF7DC8"/>
    <w:rsid w:val="0105332E"/>
    <w:rsid w:val="010F9966"/>
    <w:rsid w:val="0116A8F8"/>
    <w:rsid w:val="013FA531"/>
    <w:rsid w:val="02051F24"/>
    <w:rsid w:val="025052AF"/>
    <w:rsid w:val="0266C4CA"/>
    <w:rsid w:val="029A6D7A"/>
    <w:rsid w:val="02CD641A"/>
    <w:rsid w:val="02CE6E7B"/>
    <w:rsid w:val="02D7A87D"/>
    <w:rsid w:val="0313611D"/>
    <w:rsid w:val="0363B48D"/>
    <w:rsid w:val="037E5125"/>
    <w:rsid w:val="038C5799"/>
    <w:rsid w:val="039398C3"/>
    <w:rsid w:val="03984F9E"/>
    <w:rsid w:val="03AF4CC3"/>
    <w:rsid w:val="03E34B2A"/>
    <w:rsid w:val="04164824"/>
    <w:rsid w:val="04301FB5"/>
    <w:rsid w:val="043B9337"/>
    <w:rsid w:val="044E0FC8"/>
    <w:rsid w:val="0451B4EB"/>
    <w:rsid w:val="04A1AF26"/>
    <w:rsid w:val="04CC685B"/>
    <w:rsid w:val="04DEF6E7"/>
    <w:rsid w:val="0544EFD4"/>
    <w:rsid w:val="057AD94C"/>
    <w:rsid w:val="0585C312"/>
    <w:rsid w:val="05D3EB74"/>
    <w:rsid w:val="05DCD984"/>
    <w:rsid w:val="05EA04E1"/>
    <w:rsid w:val="05F7730D"/>
    <w:rsid w:val="0649A670"/>
    <w:rsid w:val="066E35A9"/>
    <w:rsid w:val="068FAFCD"/>
    <w:rsid w:val="06B51382"/>
    <w:rsid w:val="06BB4015"/>
    <w:rsid w:val="06FE7886"/>
    <w:rsid w:val="07073FA1"/>
    <w:rsid w:val="071B4115"/>
    <w:rsid w:val="07265A6B"/>
    <w:rsid w:val="0783E3EA"/>
    <w:rsid w:val="0788005F"/>
    <w:rsid w:val="07937B38"/>
    <w:rsid w:val="07940B35"/>
    <w:rsid w:val="07A1D125"/>
    <w:rsid w:val="07D00E3B"/>
    <w:rsid w:val="07EFF195"/>
    <w:rsid w:val="08158A10"/>
    <w:rsid w:val="088D19AA"/>
    <w:rsid w:val="08BC0A8E"/>
    <w:rsid w:val="08D5B15F"/>
    <w:rsid w:val="08ED7A59"/>
    <w:rsid w:val="08FC007F"/>
    <w:rsid w:val="08FF4B64"/>
    <w:rsid w:val="0913C9F5"/>
    <w:rsid w:val="095035AC"/>
    <w:rsid w:val="09767B3E"/>
    <w:rsid w:val="0989B990"/>
    <w:rsid w:val="098BF8EF"/>
    <w:rsid w:val="09934869"/>
    <w:rsid w:val="0995CE0A"/>
    <w:rsid w:val="09BEBAE1"/>
    <w:rsid w:val="0A030B06"/>
    <w:rsid w:val="0A06501E"/>
    <w:rsid w:val="0A64E5DF"/>
    <w:rsid w:val="0AAFD4CD"/>
    <w:rsid w:val="0AB24A49"/>
    <w:rsid w:val="0AC5D34B"/>
    <w:rsid w:val="0AD81EDB"/>
    <w:rsid w:val="0B0B651D"/>
    <w:rsid w:val="0B11BFB3"/>
    <w:rsid w:val="0B25EF9C"/>
    <w:rsid w:val="0B4BC68D"/>
    <w:rsid w:val="0B5B440B"/>
    <w:rsid w:val="0B65E74C"/>
    <w:rsid w:val="0B673E52"/>
    <w:rsid w:val="0B99A762"/>
    <w:rsid w:val="0BC1E902"/>
    <w:rsid w:val="0BD18E48"/>
    <w:rsid w:val="0BE59CDD"/>
    <w:rsid w:val="0C00CC52"/>
    <w:rsid w:val="0C252828"/>
    <w:rsid w:val="0C36BDF1"/>
    <w:rsid w:val="0C41126A"/>
    <w:rsid w:val="0C6BF114"/>
    <w:rsid w:val="0CD57643"/>
    <w:rsid w:val="0D2A4596"/>
    <w:rsid w:val="0D5FB963"/>
    <w:rsid w:val="0D9B582F"/>
    <w:rsid w:val="0DA54F14"/>
    <w:rsid w:val="0DFB0A15"/>
    <w:rsid w:val="0DFBC06C"/>
    <w:rsid w:val="0DFE3293"/>
    <w:rsid w:val="0E1DECEE"/>
    <w:rsid w:val="0E68051B"/>
    <w:rsid w:val="0E79389E"/>
    <w:rsid w:val="0EF2AF12"/>
    <w:rsid w:val="0EF84245"/>
    <w:rsid w:val="0F0A04E2"/>
    <w:rsid w:val="0F32D35D"/>
    <w:rsid w:val="0F336EB0"/>
    <w:rsid w:val="0FA6C3CE"/>
    <w:rsid w:val="0FBD7924"/>
    <w:rsid w:val="0FCC1D22"/>
    <w:rsid w:val="0FD7C93C"/>
    <w:rsid w:val="1033B5D2"/>
    <w:rsid w:val="103C748D"/>
    <w:rsid w:val="1043A0A1"/>
    <w:rsid w:val="104BA353"/>
    <w:rsid w:val="1054B56A"/>
    <w:rsid w:val="1089D23A"/>
    <w:rsid w:val="10A05E51"/>
    <w:rsid w:val="10C2EBD2"/>
    <w:rsid w:val="10C4BEC7"/>
    <w:rsid w:val="10DE145D"/>
    <w:rsid w:val="111004E1"/>
    <w:rsid w:val="112CA497"/>
    <w:rsid w:val="112E6CDF"/>
    <w:rsid w:val="11499A5C"/>
    <w:rsid w:val="114EF545"/>
    <w:rsid w:val="117D5EC6"/>
    <w:rsid w:val="11837842"/>
    <w:rsid w:val="11DF5260"/>
    <w:rsid w:val="121C154F"/>
    <w:rsid w:val="121C223D"/>
    <w:rsid w:val="1235041E"/>
    <w:rsid w:val="1251A53F"/>
    <w:rsid w:val="12645E73"/>
    <w:rsid w:val="1274827C"/>
    <w:rsid w:val="127C38C3"/>
    <w:rsid w:val="12A1E385"/>
    <w:rsid w:val="12A2ADB2"/>
    <w:rsid w:val="12B54D03"/>
    <w:rsid w:val="12BBEFDE"/>
    <w:rsid w:val="12E9DDA5"/>
    <w:rsid w:val="1307BA81"/>
    <w:rsid w:val="134DFE41"/>
    <w:rsid w:val="135BDFCE"/>
    <w:rsid w:val="136D8704"/>
    <w:rsid w:val="137AEA55"/>
    <w:rsid w:val="13910CD7"/>
    <w:rsid w:val="143311F4"/>
    <w:rsid w:val="143BE750"/>
    <w:rsid w:val="14501965"/>
    <w:rsid w:val="145FAB00"/>
    <w:rsid w:val="14629D02"/>
    <w:rsid w:val="14662219"/>
    <w:rsid w:val="149FC5C0"/>
    <w:rsid w:val="149FE4F3"/>
    <w:rsid w:val="14A9B7C4"/>
    <w:rsid w:val="152D5384"/>
    <w:rsid w:val="1596081E"/>
    <w:rsid w:val="15D8AF86"/>
    <w:rsid w:val="15F10DCC"/>
    <w:rsid w:val="1621C4C3"/>
    <w:rsid w:val="16927AC1"/>
    <w:rsid w:val="169BD880"/>
    <w:rsid w:val="16AE0AEF"/>
    <w:rsid w:val="16D81C6F"/>
    <w:rsid w:val="16D86349"/>
    <w:rsid w:val="16F3B90F"/>
    <w:rsid w:val="171D7312"/>
    <w:rsid w:val="173A2DF8"/>
    <w:rsid w:val="176F445E"/>
    <w:rsid w:val="17715533"/>
    <w:rsid w:val="17F1D79D"/>
    <w:rsid w:val="17F81017"/>
    <w:rsid w:val="17F8FDED"/>
    <w:rsid w:val="18091215"/>
    <w:rsid w:val="182529E8"/>
    <w:rsid w:val="1837A075"/>
    <w:rsid w:val="187147E7"/>
    <w:rsid w:val="187FC135"/>
    <w:rsid w:val="188719FF"/>
    <w:rsid w:val="189F3650"/>
    <w:rsid w:val="1908DD89"/>
    <w:rsid w:val="1958F36A"/>
    <w:rsid w:val="19997AF3"/>
    <w:rsid w:val="19A2D3A2"/>
    <w:rsid w:val="19DB1B42"/>
    <w:rsid w:val="19DC3635"/>
    <w:rsid w:val="19DC8EE0"/>
    <w:rsid w:val="19F7BF6E"/>
    <w:rsid w:val="1A28092A"/>
    <w:rsid w:val="1A3277F3"/>
    <w:rsid w:val="1A82E93A"/>
    <w:rsid w:val="1A8BA404"/>
    <w:rsid w:val="1AAA0534"/>
    <w:rsid w:val="1AEBD872"/>
    <w:rsid w:val="1B1B5478"/>
    <w:rsid w:val="1B22CD7D"/>
    <w:rsid w:val="1B232094"/>
    <w:rsid w:val="1B320D35"/>
    <w:rsid w:val="1B3EBBA6"/>
    <w:rsid w:val="1B45AA9F"/>
    <w:rsid w:val="1B70D79C"/>
    <w:rsid w:val="1B8BB7EA"/>
    <w:rsid w:val="1BDA28DE"/>
    <w:rsid w:val="1C03EBCE"/>
    <w:rsid w:val="1C0B408B"/>
    <w:rsid w:val="1C394F49"/>
    <w:rsid w:val="1C4B0D6D"/>
    <w:rsid w:val="1C4DC1FE"/>
    <w:rsid w:val="1C5830B9"/>
    <w:rsid w:val="1C6B591B"/>
    <w:rsid w:val="1C826878"/>
    <w:rsid w:val="1CA456EC"/>
    <w:rsid w:val="1CDC1A46"/>
    <w:rsid w:val="1CE2A713"/>
    <w:rsid w:val="1D15BB8F"/>
    <w:rsid w:val="1D1A9B01"/>
    <w:rsid w:val="1D3943A1"/>
    <w:rsid w:val="1D4AE6DE"/>
    <w:rsid w:val="1D8F8A10"/>
    <w:rsid w:val="1D9B17D7"/>
    <w:rsid w:val="1DB4512A"/>
    <w:rsid w:val="1DBCBDEC"/>
    <w:rsid w:val="1DBCC142"/>
    <w:rsid w:val="1DD540B3"/>
    <w:rsid w:val="1DFEDD13"/>
    <w:rsid w:val="1E04943F"/>
    <w:rsid w:val="1E0AF47C"/>
    <w:rsid w:val="1E12AED3"/>
    <w:rsid w:val="1E1E2706"/>
    <w:rsid w:val="1E237A9B"/>
    <w:rsid w:val="1EAE0CC5"/>
    <w:rsid w:val="1EE2D771"/>
    <w:rsid w:val="1EF68F5D"/>
    <w:rsid w:val="1F01148F"/>
    <w:rsid w:val="1F2DB10D"/>
    <w:rsid w:val="1F3D17F6"/>
    <w:rsid w:val="1F4F2005"/>
    <w:rsid w:val="1F55AD80"/>
    <w:rsid w:val="1F62EBF9"/>
    <w:rsid w:val="1FF73D1C"/>
    <w:rsid w:val="204C7B5F"/>
    <w:rsid w:val="20FCFE9E"/>
    <w:rsid w:val="20FDC4FE"/>
    <w:rsid w:val="21184E1C"/>
    <w:rsid w:val="21255F67"/>
    <w:rsid w:val="2138F375"/>
    <w:rsid w:val="214B9EA8"/>
    <w:rsid w:val="21510583"/>
    <w:rsid w:val="218FB2B8"/>
    <w:rsid w:val="21AD7CBA"/>
    <w:rsid w:val="21B0E64F"/>
    <w:rsid w:val="21E3DDA2"/>
    <w:rsid w:val="21F84277"/>
    <w:rsid w:val="22FC486D"/>
    <w:rsid w:val="233EF7EE"/>
    <w:rsid w:val="2370061B"/>
    <w:rsid w:val="2374D00D"/>
    <w:rsid w:val="239B0186"/>
    <w:rsid w:val="23A7B34C"/>
    <w:rsid w:val="23D39C81"/>
    <w:rsid w:val="23E2B409"/>
    <w:rsid w:val="242FBF2C"/>
    <w:rsid w:val="2447879C"/>
    <w:rsid w:val="244FA7E3"/>
    <w:rsid w:val="244FCEC7"/>
    <w:rsid w:val="24793923"/>
    <w:rsid w:val="24D297C6"/>
    <w:rsid w:val="24D3860C"/>
    <w:rsid w:val="25012770"/>
    <w:rsid w:val="254928D6"/>
    <w:rsid w:val="255808FE"/>
    <w:rsid w:val="257E92D3"/>
    <w:rsid w:val="25A00E3E"/>
    <w:rsid w:val="25A7E045"/>
    <w:rsid w:val="25C54E67"/>
    <w:rsid w:val="2600941E"/>
    <w:rsid w:val="261DB27C"/>
    <w:rsid w:val="2664302C"/>
    <w:rsid w:val="26669652"/>
    <w:rsid w:val="2672FED7"/>
    <w:rsid w:val="26A74939"/>
    <w:rsid w:val="26F147BC"/>
    <w:rsid w:val="26F24AD8"/>
    <w:rsid w:val="274C97DD"/>
    <w:rsid w:val="27562202"/>
    <w:rsid w:val="27F4F61A"/>
    <w:rsid w:val="283B7F46"/>
    <w:rsid w:val="283FF571"/>
    <w:rsid w:val="289C554F"/>
    <w:rsid w:val="28B13C26"/>
    <w:rsid w:val="28B8E7DB"/>
    <w:rsid w:val="28C2AAD2"/>
    <w:rsid w:val="28C6CFC7"/>
    <w:rsid w:val="28FF85C9"/>
    <w:rsid w:val="29082F0C"/>
    <w:rsid w:val="2912E312"/>
    <w:rsid w:val="2930F321"/>
    <w:rsid w:val="2944D0E4"/>
    <w:rsid w:val="296B9A0C"/>
    <w:rsid w:val="298B1277"/>
    <w:rsid w:val="298F9DB1"/>
    <w:rsid w:val="2998001F"/>
    <w:rsid w:val="29D90798"/>
    <w:rsid w:val="2A170E6C"/>
    <w:rsid w:val="2A27AA2F"/>
    <w:rsid w:val="2A2ADB80"/>
    <w:rsid w:val="2A382336"/>
    <w:rsid w:val="2A466F42"/>
    <w:rsid w:val="2A47CE3D"/>
    <w:rsid w:val="2A5AA727"/>
    <w:rsid w:val="2A96EFC6"/>
    <w:rsid w:val="2AD505B2"/>
    <w:rsid w:val="2B035B59"/>
    <w:rsid w:val="2B07433E"/>
    <w:rsid w:val="2B4B5677"/>
    <w:rsid w:val="2B5D8F37"/>
    <w:rsid w:val="2B6E3DAA"/>
    <w:rsid w:val="2B7C892A"/>
    <w:rsid w:val="2B8361D5"/>
    <w:rsid w:val="2BA001E9"/>
    <w:rsid w:val="2BC2D15F"/>
    <w:rsid w:val="2BCA526F"/>
    <w:rsid w:val="2BCE33AD"/>
    <w:rsid w:val="2BD2E46A"/>
    <w:rsid w:val="2C1345CA"/>
    <w:rsid w:val="2C3D2684"/>
    <w:rsid w:val="2C680265"/>
    <w:rsid w:val="2C6BB9DF"/>
    <w:rsid w:val="2C7D83C6"/>
    <w:rsid w:val="2C7F78F5"/>
    <w:rsid w:val="2C891DFE"/>
    <w:rsid w:val="2CA2B1D8"/>
    <w:rsid w:val="2CD094D6"/>
    <w:rsid w:val="2CF1BF61"/>
    <w:rsid w:val="2D467062"/>
    <w:rsid w:val="2D564818"/>
    <w:rsid w:val="2D6A0334"/>
    <w:rsid w:val="2D94D6D1"/>
    <w:rsid w:val="2DCBF22E"/>
    <w:rsid w:val="2DDD1EEB"/>
    <w:rsid w:val="2DED80DA"/>
    <w:rsid w:val="2DF38B9A"/>
    <w:rsid w:val="2DFB1E58"/>
    <w:rsid w:val="2E1043B1"/>
    <w:rsid w:val="2E2CE897"/>
    <w:rsid w:val="2E3D75B4"/>
    <w:rsid w:val="2E4427A6"/>
    <w:rsid w:val="2E4BAB7C"/>
    <w:rsid w:val="2E5790FF"/>
    <w:rsid w:val="2E6BF7ED"/>
    <w:rsid w:val="2E6E26FB"/>
    <w:rsid w:val="2EFC162F"/>
    <w:rsid w:val="2EFD98EA"/>
    <w:rsid w:val="2F034EC1"/>
    <w:rsid w:val="2F06CF00"/>
    <w:rsid w:val="2F142C9F"/>
    <w:rsid w:val="2F183F49"/>
    <w:rsid w:val="2F72C5C8"/>
    <w:rsid w:val="2F7E8B61"/>
    <w:rsid w:val="2F7F1228"/>
    <w:rsid w:val="2F8F7D81"/>
    <w:rsid w:val="2FA40115"/>
    <w:rsid w:val="2FC7ED99"/>
    <w:rsid w:val="2FCEC073"/>
    <w:rsid w:val="2FCF5289"/>
    <w:rsid w:val="2FE99429"/>
    <w:rsid w:val="302EFDFC"/>
    <w:rsid w:val="303504F6"/>
    <w:rsid w:val="3036D9BA"/>
    <w:rsid w:val="30434D7D"/>
    <w:rsid w:val="304D5F6C"/>
    <w:rsid w:val="30544B7E"/>
    <w:rsid w:val="3059A4C8"/>
    <w:rsid w:val="3066ADD3"/>
    <w:rsid w:val="3085EE3C"/>
    <w:rsid w:val="30B92C98"/>
    <w:rsid w:val="3112828E"/>
    <w:rsid w:val="31515A7C"/>
    <w:rsid w:val="315D97FF"/>
    <w:rsid w:val="31C22BE6"/>
    <w:rsid w:val="31CE25A0"/>
    <w:rsid w:val="31E89B38"/>
    <w:rsid w:val="31F3D650"/>
    <w:rsid w:val="32565F3C"/>
    <w:rsid w:val="3272A0A6"/>
    <w:rsid w:val="32CE83FE"/>
    <w:rsid w:val="32CEDAEE"/>
    <w:rsid w:val="33257BBD"/>
    <w:rsid w:val="334EA0FC"/>
    <w:rsid w:val="336737D2"/>
    <w:rsid w:val="33A8B2EB"/>
    <w:rsid w:val="33BBD510"/>
    <w:rsid w:val="33DAD76E"/>
    <w:rsid w:val="33E1DD0B"/>
    <w:rsid w:val="33ED4355"/>
    <w:rsid w:val="3442134B"/>
    <w:rsid w:val="345A28E9"/>
    <w:rsid w:val="34755993"/>
    <w:rsid w:val="347B2258"/>
    <w:rsid w:val="34A87E6F"/>
    <w:rsid w:val="34CDE392"/>
    <w:rsid w:val="34E36A24"/>
    <w:rsid w:val="354278B2"/>
    <w:rsid w:val="3579CC28"/>
    <w:rsid w:val="35A98CDA"/>
    <w:rsid w:val="35ADB097"/>
    <w:rsid w:val="35B771A4"/>
    <w:rsid w:val="35F31E9A"/>
    <w:rsid w:val="35F32007"/>
    <w:rsid w:val="360A0533"/>
    <w:rsid w:val="36253BAF"/>
    <w:rsid w:val="362B29B1"/>
    <w:rsid w:val="36320084"/>
    <w:rsid w:val="365E0538"/>
    <w:rsid w:val="3678B877"/>
    <w:rsid w:val="36C021B5"/>
    <w:rsid w:val="370161D9"/>
    <w:rsid w:val="37175848"/>
    <w:rsid w:val="37240627"/>
    <w:rsid w:val="375B94E0"/>
    <w:rsid w:val="37704A75"/>
    <w:rsid w:val="37843722"/>
    <w:rsid w:val="37AF5D5D"/>
    <w:rsid w:val="37D98DE1"/>
    <w:rsid w:val="38258DC0"/>
    <w:rsid w:val="382D71BC"/>
    <w:rsid w:val="385FF6BC"/>
    <w:rsid w:val="38677A74"/>
    <w:rsid w:val="387B9AC6"/>
    <w:rsid w:val="38BD09E6"/>
    <w:rsid w:val="38F2CF93"/>
    <w:rsid w:val="3930DB1F"/>
    <w:rsid w:val="394C9A88"/>
    <w:rsid w:val="3971ABE8"/>
    <w:rsid w:val="39A7C2BE"/>
    <w:rsid w:val="39C2EB72"/>
    <w:rsid w:val="39E25A4B"/>
    <w:rsid w:val="39F56431"/>
    <w:rsid w:val="3A141435"/>
    <w:rsid w:val="3A14D5F3"/>
    <w:rsid w:val="3A275038"/>
    <w:rsid w:val="3A45130C"/>
    <w:rsid w:val="3A54E3E8"/>
    <w:rsid w:val="3A9007DE"/>
    <w:rsid w:val="3AAF6C7E"/>
    <w:rsid w:val="3AB1A8BC"/>
    <w:rsid w:val="3AD7A313"/>
    <w:rsid w:val="3AECD2FD"/>
    <w:rsid w:val="3B05A319"/>
    <w:rsid w:val="3B0E988C"/>
    <w:rsid w:val="3B22173A"/>
    <w:rsid w:val="3B32BF50"/>
    <w:rsid w:val="3B3815B1"/>
    <w:rsid w:val="3B49FD0B"/>
    <w:rsid w:val="3B5B825B"/>
    <w:rsid w:val="3B89FF15"/>
    <w:rsid w:val="3B94DD9B"/>
    <w:rsid w:val="3BD6DECB"/>
    <w:rsid w:val="3BE7D412"/>
    <w:rsid w:val="3BF63451"/>
    <w:rsid w:val="3C27DC1C"/>
    <w:rsid w:val="3C6B222B"/>
    <w:rsid w:val="3CAB7340"/>
    <w:rsid w:val="3CB750C2"/>
    <w:rsid w:val="3CD207E5"/>
    <w:rsid w:val="3CF5AFD4"/>
    <w:rsid w:val="3D23168B"/>
    <w:rsid w:val="3D42017A"/>
    <w:rsid w:val="3D4304D7"/>
    <w:rsid w:val="3D49F99B"/>
    <w:rsid w:val="3D632FC6"/>
    <w:rsid w:val="3D784930"/>
    <w:rsid w:val="3D8D81C9"/>
    <w:rsid w:val="3DAB6F80"/>
    <w:rsid w:val="3DC05073"/>
    <w:rsid w:val="3E03CD17"/>
    <w:rsid w:val="3E3765D8"/>
    <w:rsid w:val="3E55BE93"/>
    <w:rsid w:val="3E7DC3EA"/>
    <w:rsid w:val="3E985C3A"/>
    <w:rsid w:val="3ECE2895"/>
    <w:rsid w:val="3F217304"/>
    <w:rsid w:val="3F28655B"/>
    <w:rsid w:val="3F7B48F4"/>
    <w:rsid w:val="3F8FB28E"/>
    <w:rsid w:val="3F9B6EB7"/>
    <w:rsid w:val="3FB47127"/>
    <w:rsid w:val="3FC426DF"/>
    <w:rsid w:val="3FC8FA18"/>
    <w:rsid w:val="3FCB441F"/>
    <w:rsid w:val="3FE26DE1"/>
    <w:rsid w:val="3FF15329"/>
    <w:rsid w:val="4011A3D2"/>
    <w:rsid w:val="401DAD0F"/>
    <w:rsid w:val="402D8B75"/>
    <w:rsid w:val="40706048"/>
    <w:rsid w:val="4072ABF5"/>
    <w:rsid w:val="40884FE1"/>
    <w:rsid w:val="408F2998"/>
    <w:rsid w:val="40A34402"/>
    <w:rsid w:val="40B2ECBC"/>
    <w:rsid w:val="40BD95F8"/>
    <w:rsid w:val="40EC9018"/>
    <w:rsid w:val="41070C72"/>
    <w:rsid w:val="412C2E2A"/>
    <w:rsid w:val="415BC34F"/>
    <w:rsid w:val="4161B826"/>
    <w:rsid w:val="4172AA26"/>
    <w:rsid w:val="41A9F4F3"/>
    <w:rsid w:val="41B4C778"/>
    <w:rsid w:val="41CCD190"/>
    <w:rsid w:val="41EACB2C"/>
    <w:rsid w:val="4205CE23"/>
    <w:rsid w:val="4246D5E5"/>
    <w:rsid w:val="4295E879"/>
    <w:rsid w:val="42A52329"/>
    <w:rsid w:val="42B3EF58"/>
    <w:rsid w:val="42EA1722"/>
    <w:rsid w:val="430A4483"/>
    <w:rsid w:val="4314A154"/>
    <w:rsid w:val="4335158C"/>
    <w:rsid w:val="435195FC"/>
    <w:rsid w:val="4353BDD5"/>
    <w:rsid w:val="435E893A"/>
    <w:rsid w:val="43DCF600"/>
    <w:rsid w:val="442DEDA7"/>
    <w:rsid w:val="444C0A02"/>
    <w:rsid w:val="44678BC1"/>
    <w:rsid w:val="4480C334"/>
    <w:rsid w:val="448824EE"/>
    <w:rsid w:val="45185AB0"/>
    <w:rsid w:val="4557BA60"/>
    <w:rsid w:val="4566DCE0"/>
    <w:rsid w:val="457AE966"/>
    <w:rsid w:val="457F33EF"/>
    <w:rsid w:val="45C369D1"/>
    <w:rsid w:val="45FA0CBA"/>
    <w:rsid w:val="461360E5"/>
    <w:rsid w:val="46156969"/>
    <w:rsid w:val="461DF0F4"/>
    <w:rsid w:val="4621D8AD"/>
    <w:rsid w:val="4629B967"/>
    <w:rsid w:val="4658B5E2"/>
    <w:rsid w:val="466FAC89"/>
    <w:rsid w:val="4672E93B"/>
    <w:rsid w:val="467F7291"/>
    <w:rsid w:val="46A77B83"/>
    <w:rsid w:val="46BB54AB"/>
    <w:rsid w:val="46F35D5E"/>
    <w:rsid w:val="46F62195"/>
    <w:rsid w:val="46F7F8FE"/>
    <w:rsid w:val="47152690"/>
    <w:rsid w:val="4731F565"/>
    <w:rsid w:val="476CB7CF"/>
    <w:rsid w:val="47B105C8"/>
    <w:rsid w:val="47C76930"/>
    <w:rsid w:val="483BFF6A"/>
    <w:rsid w:val="484DF791"/>
    <w:rsid w:val="484F027F"/>
    <w:rsid w:val="485F4104"/>
    <w:rsid w:val="488F2CF2"/>
    <w:rsid w:val="48C6D5FF"/>
    <w:rsid w:val="48C88036"/>
    <w:rsid w:val="48D02CBE"/>
    <w:rsid w:val="48FE9237"/>
    <w:rsid w:val="491546C1"/>
    <w:rsid w:val="492594C9"/>
    <w:rsid w:val="4959E45F"/>
    <w:rsid w:val="499B51F4"/>
    <w:rsid w:val="49A9802A"/>
    <w:rsid w:val="49D436A1"/>
    <w:rsid w:val="49DD4A95"/>
    <w:rsid w:val="49FF86FA"/>
    <w:rsid w:val="4A050BD0"/>
    <w:rsid w:val="4A1D3CA1"/>
    <w:rsid w:val="4A48B060"/>
    <w:rsid w:val="4A5B7079"/>
    <w:rsid w:val="4A5E39C6"/>
    <w:rsid w:val="4AB370D0"/>
    <w:rsid w:val="4ACCD807"/>
    <w:rsid w:val="4ADB8766"/>
    <w:rsid w:val="4B07AE07"/>
    <w:rsid w:val="4B3C1FE6"/>
    <w:rsid w:val="4B508636"/>
    <w:rsid w:val="4B621ED9"/>
    <w:rsid w:val="4B64EA24"/>
    <w:rsid w:val="4B80F03B"/>
    <w:rsid w:val="4BA6F14E"/>
    <w:rsid w:val="4BCEC2BB"/>
    <w:rsid w:val="4C2AF809"/>
    <w:rsid w:val="4C367038"/>
    <w:rsid w:val="4C37DC2B"/>
    <w:rsid w:val="4C748CF5"/>
    <w:rsid w:val="4C893FC6"/>
    <w:rsid w:val="4C948C0A"/>
    <w:rsid w:val="4CCD80FF"/>
    <w:rsid w:val="4CCFDC41"/>
    <w:rsid w:val="4CE603AA"/>
    <w:rsid w:val="4CE887D8"/>
    <w:rsid w:val="4CE89715"/>
    <w:rsid w:val="4CEADCF9"/>
    <w:rsid w:val="4D1CB868"/>
    <w:rsid w:val="4D24B137"/>
    <w:rsid w:val="4D27F92B"/>
    <w:rsid w:val="4D312579"/>
    <w:rsid w:val="4D43220D"/>
    <w:rsid w:val="4D56D569"/>
    <w:rsid w:val="4D5EAECD"/>
    <w:rsid w:val="4D73AE80"/>
    <w:rsid w:val="4D78A832"/>
    <w:rsid w:val="4D94BA12"/>
    <w:rsid w:val="4DBF15AB"/>
    <w:rsid w:val="4DF198DF"/>
    <w:rsid w:val="4DFDD310"/>
    <w:rsid w:val="4E0D5F80"/>
    <w:rsid w:val="4E2A033D"/>
    <w:rsid w:val="4E4B8010"/>
    <w:rsid w:val="4E51ED26"/>
    <w:rsid w:val="4E5A8BAF"/>
    <w:rsid w:val="4E944E56"/>
    <w:rsid w:val="4EB3EF6E"/>
    <w:rsid w:val="4ED74BDE"/>
    <w:rsid w:val="4F473E54"/>
    <w:rsid w:val="4F6BF339"/>
    <w:rsid w:val="4F911176"/>
    <w:rsid w:val="4FD620DB"/>
    <w:rsid w:val="4FEC86F3"/>
    <w:rsid w:val="4FF8D0A3"/>
    <w:rsid w:val="500BB8B7"/>
    <w:rsid w:val="503A0DF0"/>
    <w:rsid w:val="50539743"/>
    <w:rsid w:val="506843B4"/>
    <w:rsid w:val="5099D241"/>
    <w:rsid w:val="50BB161F"/>
    <w:rsid w:val="50C19446"/>
    <w:rsid w:val="50EAA962"/>
    <w:rsid w:val="51067CE7"/>
    <w:rsid w:val="51217914"/>
    <w:rsid w:val="51240AD0"/>
    <w:rsid w:val="513A10C2"/>
    <w:rsid w:val="51794BCE"/>
    <w:rsid w:val="51D6BAD2"/>
    <w:rsid w:val="51D9011D"/>
    <w:rsid w:val="51E9F5D7"/>
    <w:rsid w:val="51F0B9B5"/>
    <w:rsid w:val="52077B09"/>
    <w:rsid w:val="521845E5"/>
    <w:rsid w:val="521CF970"/>
    <w:rsid w:val="5241B4D7"/>
    <w:rsid w:val="527F07EA"/>
    <w:rsid w:val="5286B7FC"/>
    <w:rsid w:val="52C0729F"/>
    <w:rsid w:val="52C1DA7A"/>
    <w:rsid w:val="52EE5CAF"/>
    <w:rsid w:val="52F76AA5"/>
    <w:rsid w:val="53570EED"/>
    <w:rsid w:val="5376E943"/>
    <w:rsid w:val="538B387E"/>
    <w:rsid w:val="539A67A9"/>
    <w:rsid w:val="539BD5FE"/>
    <w:rsid w:val="53B450D3"/>
    <w:rsid w:val="543EC554"/>
    <w:rsid w:val="5468B960"/>
    <w:rsid w:val="546E39B2"/>
    <w:rsid w:val="548AF1E2"/>
    <w:rsid w:val="549E2ACD"/>
    <w:rsid w:val="54F2E84F"/>
    <w:rsid w:val="5508AAD8"/>
    <w:rsid w:val="5545292F"/>
    <w:rsid w:val="554B9F8A"/>
    <w:rsid w:val="55712811"/>
    <w:rsid w:val="55842557"/>
    <w:rsid w:val="5588A2B7"/>
    <w:rsid w:val="5595A8E5"/>
    <w:rsid w:val="55A369C1"/>
    <w:rsid w:val="55AFB011"/>
    <w:rsid w:val="55CCA492"/>
    <w:rsid w:val="55E20594"/>
    <w:rsid w:val="560EBEFA"/>
    <w:rsid w:val="5614AF07"/>
    <w:rsid w:val="5616DF31"/>
    <w:rsid w:val="562D3E07"/>
    <w:rsid w:val="563D89B1"/>
    <w:rsid w:val="5642520F"/>
    <w:rsid w:val="56676FB6"/>
    <w:rsid w:val="56909C59"/>
    <w:rsid w:val="56BDB7E8"/>
    <w:rsid w:val="56C4742C"/>
    <w:rsid w:val="56C7ACC8"/>
    <w:rsid w:val="56E8F426"/>
    <w:rsid w:val="572978AC"/>
    <w:rsid w:val="57712C6F"/>
    <w:rsid w:val="578FB939"/>
    <w:rsid w:val="57B52517"/>
    <w:rsid w:val="57CB86AA"/>
    <w:rsid w:val="582968D4"/>
    <w:rsid w:val="584F0803"/>
    <w:rsid w:val="58723C18"/>
    <w:rsid w:val="58776CA1"/>
    <w:rsid w:val="58B2AE77"/>
    <w:rsid w:val="58E2AD2A"/>
    <w:rsid w:val="58F660C7"/>
    <w:rsid w:val="592836D2"/>
    <w:rsid w:val="5966CB3B"/>
    <w:rsid w:val="597C2E57"/>
    <w:rsid w:val="59909C8C"/>
    <w:rsid w:val="59938049"/>
    <w:rsid w:val="5994FE72"/>
    <w:rsid w:val="59BB56FC"/>
    <w:rsid w:val="59BE4C03"/>
    <w:rsid w:val="59CDE79D"/>
    <w:rsid w:val="59F825AE"/>
    <w:rsid w:val="5A6CB237"/>
    <w:rsid w:val="5A853EE0"/>
    <w:rsid w:val="5AA1A5EE"/>
    <w:rsid w:val="5B078A31"/>
    <w:rsid w:val="5B0C7BDF"/>
    <w:rsid w:val="5B0CE7FF"/>
    <w:rsid w:val="5B571B23"/>
    <w:rsid w:val="5B5824FD"/>
    <w:rsid w:val="5B6BAB24"/>
    <w:rsid w:val="5BA48E54"/>
    <w:rsid w:val="5BBE076B"/>
    <w:rsid w:val="5BDAF790"/>
    <w:rsid w:val="5BED367E"/>
    <w:rsid w:val="5C50C2C1"/>
    <w:rsid w:val="5CB449E9"/>
    <w:rsid w:val="5CD57792"/>
    <w:rsid w:val="5CE66742"/>
    <w:rsid w:val="5CE881D1"/>
    <w:rsid w:val="5CEC489D"/>
    <w:rsid w:val="5DA9A3DE"/>
    <w:rsid w:val="5DB2B99F"/>
    <w:rsid w:val="5DB51FE3"/>
    <w:rsid w:val="5DC7A951"/>
    <w:rsid w:val="5DD80A61"/>
    <w:rsid w:val="5DF89073"/>
    <w:rsid w:val="5E210DC5"/>
    <w:rsid w:val="5E31D62F"/>
    <w:rsid w:val="5E459F3D"/>
    <w:rsid w:val="5E59F7F0"/>
    <w:rsid w:val="5E823792"/>
    <w:rsid w:val="5EA9AB6B"/>
    <w:rsid w:val="5EC95531"/>
    <w:rsid w:val="5EDE90D3"/>
    <w:rsid w:val="5EE7C531"/>
    <w:rsid w:val="5EF6834D"/>
    <w:rsid w:val="5F357EE2"/>
    <w:rsid w:val="5F97EEFC"/>
    <w:rsid w:val="5FAE3A6B"/>
    <w:rsid w:val="5FB0C692"/>
    <w:rsid w:val="5FE13FA9"/>
    <w:rsid w:val="5FE38EA8"/>
    <w:rsid w:val="5FF88047"/>
    <w:rsid w:val="6008FCC5"/>
    <w:rsid w:val="6030C9FA"/>
    <w:rsid w:val="60455992"/>
    <w:rsid w:val="60492A31"/>
    <w:rsid w:val="605BC0AD"/>
    <w:rsid w:val="607FE21B"/>
    <w:rsid w:val="60C3C868"/>
    <w:rsid w:val="60CE476E"/>
    <w:rsid w:val="60DD9AFD"/>
    <w:rsid w:val="6113EDDD"/>
    <w:rsid w:val="61259003"/>
    <w:rsid w:val="612CD38C"/>
    <w:rsid w:val="614B1139"/>
    <w:rsid w:val="6153BE70"/>
    <w:rsid w:val="6154B2EE"/>
    <w:rsid w:val="6163151A"/>
    <w:rsid w:val="61AF3ABD"/>
    <w:rsid w:val="61B4B90E"/>
    <w:rsid w:val="61E89866"/>
    <w:rsid w:val="61F18361"/>
    <w:rsid w:val="61FA9F58"/>
    <w:rsid w:val="621F9B5C"/>
    <w:rsid w:val="6223547D"/>
    <w:rsid w:val="6231249D"/>
    <w:rsid w:val="62CEF1CE"/>
    <w:rsid w:val="62D0B7C6"/>
    <w:rsid w:val="62D523C1"/>
    <w:rsid w:val="62ED3634"/>
    <w:rsid w:val="630BB3A7"/>
    <w:rsid w:val="632C74D1"/>
    <w:rsid w:val="6361287C"/>
    <w:rsid w:val="63C25057"/>
    <w:rsid w:val="63CBC0CA"/>
    <w:rsid w:val="63EC50C3"/>
    <w:rsid w:val="63F7377A"/>
    <w:rsid w:val="64045A67"/>
    <w:rsid w:val="640993DF"/>
    <w:rsid w:val="6416CEE7"/>
    <w:rsid w:val="642A42C1"/>
    <w:rsid w:val="6443888A"/>
    <w:rsid w:val="647DD697"/>
    <w:rsid w:val="64949683"/>
    <w:rsid w:val="6496E752"/>
    <w:rsid w:val="64AAFCCE"/>
    <w:rsid w:val="64B3A0F6"/>
    <w:rsid w:val="65134AFB"/>
    <w:rsid w:val="6524B0D9"/>
    <w:rsid w:val="65363930"/>
    <w:rsid w:val="653B78BC"/>
    <w:rsid w:val="655BA0D4"/>
    <w:rsid w:val="655CBA5F"/>
    <w:rsid w:val="656EDB9F"/>
    <w:rsid w:val="6574842B"/>
    <w:rsid w:val="65807C11"/>
    <w:rsid w:val="65A9D4A0"/>
    <w:rsid w:val="65D772E3"/>
    <w:rsid w:val="65EE2536"/>
    <w:rsid w:val="66256412"/>
    <w:rsid w:val="66557696"/>
    <w:rsid w:val="666C71E6"/>
    <w:rsid w:val="669FDD05"/>
    <w:rsid w:val="66E0FA92"/>
    <w:rsid w:val="66F9FE64"/>
    <w:rsid w:val="67413FF2"/>
    <w:rsid w:val="67710847"/>
    <w:rsid w:val="677C2108"/>
    <w:rsid w:val="6785F00D"/>
    <w:rsid w:val="67AD536D"/>
    <w:rsid w:val="67DE884B"/>
    <w:rsid w:val="67F41EB0"/>
    <w:rsid w:val="67F61FF5"/>
    <w:rsid w:val="67F9A038"/>
    <w:rsid w:val="682483A6"/>
    <w:rsid w:val="682666E5"/>
    <w:rsid w:val="683630E9"/>
    <w:rsid w:val="6841C06B"/>
    <w:rsid w:val="688A894C"/>
    <w:rsid w:val="688EB4D6"/>
    <w:rsid w:val="688FCE13"/>
    <w:rsid w:val="689749AA"/>
    <w:rsid w:val="689885CA"/>
    <w:rsid w:val="68CBD985"/>
    <w:rsid w:val="68D82A24"/>
    <w:rsid w:val="69462C5C"/>
    <w:rsid w:val="694E1EC6"/>
    <w:rsid w:val="6994ACB5"/>
    <w:rsid w:val="69ABA83A"/>
    <w:rsid w:val="69B92C08"/>
    <w:rsid w:val="69D30445"/>
    <w:rsid w:val="6A140413"/>
    <w:rsid w:val="6A3B9C0E"/>
    <w:rsid w:val="6A54CAB3"/>
    <w:rsid w:val="6A58A9F4"/>
    <w:rsid w:val="6AB05CF4"/>
    <w:rsid w:val="6AB9C628"/>
    <w:rsid w:val="6AE2A787"/>
    <w:rsid w:val="6AEC805F"/>
    <w:rsid w:val="6B3EB6DD"/>
    <w:rsid w:val="6B795065"/>
    <w:rsid w:val="6B7CA432"/>
    <w:rsid w:val="6B9A82D0"/>
    <w:rsid w:val="6BB55837"/>
    <w:rsid w:val="6BCA22F5"/>
    <w:rsid w:val="6BFD5D39"/>
    <w:rsid w:val="6C04C226"/>
    <w:rsid w:val="6C09946E"/>
    <w:rsid w:val="6C1B73C1"/>
    <w:rsid w:val="6C21ABCD"/>
    <w:rsid w:val="6C5325BC"/>
    <w:rsid w:val="6C88595E"/>
    <w:rsid w:val="6C9A5451"/>
    <w:rsid w:val="6C9E7D02"/>
    <w:rsid w:val="6CA26BF9"/>
    <w:rsid w:val="6CB90942"/>
    <w:rsid w:val="6CFBFD45"/>
    <w:rsid w:val="6D3F245D"/>
    <w:rsid w:val="6D581D0F"/>
    <w:rsid w:val="6D790B89"/>
    <w:rsid w:val="6DCBF9EC"/>
    <w:rsid w:val="6DD05E85"/>
    <w:rsid w:val="6DD9209A"/>
    <w:rsid w:val="6DDC219D"/>
    <w:rsid w:val="6DF66262"/>
    <w:rsid w:val="6E460356"/>
    <w:rsid w:val="6E486A50"/>
    <w:rsid w:val="6E4C16B2"/>
    <w:rsid w:val="6E67AA99"/>
    <w:rsid w:val="6E6C85AE"/>
    <w:rsid w:val="6E8D713E"/>
    <w:rsid w:val="6EB73ED9"/>
    <w:rsid w:val="6EC562AB"/>
    <w:rsid w:val="6EDBE182"/>
    <w:rsid w:val="6EE36FA9"/>
    <w:rsid w:val="6EEF566D"/>
    <w:rsid w:val="6EF931EC"/>
    <w:rsid w:val="6EFBC867"/>
    <w:rsid w:val="6F2D675F"/>
    <w:rsid w:val="6F323E10"/>
    <w:rsid w:val="6F3BC86A"/>
    <w:rsid w:val="6F67CB4B"/>
    <w:rsid w:val="6F95A608"/>
    <w:rsid w:val="6FB600DE"/>
    <w:rsid w:val="6FB9316A"/>
    <w:rsid w:val="6FC7C1A3"/>
    <w:rsid w:val="6FCC3C12"/>
    <w:rsid w:val="6FF10B90"/>
    <w:rsid w:val="6FFD7856"/>
    <w:rsid w:val="704E3C83"/>
    <w:rsid w:val="70692E80"/>
    <w:rsid w:val="707679A4"/>
    <w:rsid w:val="7077EB1C"/>
    <w:rsid w:val="7087C0D2"/>
    <w:rsid w:val="70D2C9CC"/>
    <w:rsid w:val="70D46E21"/>
    <w:rsid w:val="70E07E88"/>
    <w:rsid w:val="712493FB"/>
    <w:rsid w:val="7138082B"/>
    <w:rsid w:val="713B7E66"/>
    <w:rsid w:val="715D6E55"/>
    <w:rsid w:val="716F8BDE"/>
    <w:rsid w:val="71739E8F"/>
    <w:rsid w:val="7205F167"/>
    <w:rsid w:val="7256D8C9"/>
    <w:rsid w:val="726E9C0A"/>
    <w:rsid w:val="729FBDF4"/>
    <w:rsid w:val="72A20286"/>
    <w:rsid w:val="72C5F9C4"/>
    <w:rsid w:val="72E8978F"/>
    <w:rsid w:val="73051CCD"/>
    <w:rsid w:val="7311C99D"/>
    <w:rsid w:val="731D455E"/>
    <w:rsid w:val="7331C759"/>
    <w:rsid w:val="73563FA5"/>
    <w:rsid w:val="7368D636"/>
    <w:rsid w:val="7396BB2B"/>
    <w:rsid w:val="73C7AC57"/>
    <w:rsid w:val="73CDC0C7"/>
    <w:rsid w:val="73D83520"/>
    <w:rsid w:val="73E1EB34"/>
    <w:rsid w:val="73F571DF"/>
    <w:rsid w:val="7403732D"/>
    <w:rsid w:val="741DAF5D"/>
    <w:rsid w:val="7422D133"/>
    <w:rsid w:val="745F937C"/>
    <w:rsid w:val="74D2C696"/>
    <w:rsid w:val="74D878F9"/>
    <w:rsid w:val="75142BB7"/>
    <w:rsid w:val="752E3101"/>
    <w:rsid w:val="75829486"/>
    <w:rsid w:val="758FFC80"/>
    <w:rsid w:val="75BA5E61"/>
    <w:rsid w:val="761E91C7"/>
    <w:rsid w:val="763D4D3F"/>
    <w:rsid w:val="765B94F1"/>
    <w:rsid w:val="7689F4AF"/>
    <w:rsid w:val="768D8EAB"/>
    <w:rsid w:val="76B8DDAA"/>
    <w:rsid w:val="76C8B844"/>
    <w:rsid w:val="76C9EA1E"/>
    <w:rsid w:val="76F1F806"/>
    <w:rsid w:val="77207321"/>
    <w:rsid w:val="7739957B"/>
    <w:rsid w:val="7746E13B"/>
    <w:rsid w:val="7747E91D"/>
    <w:rsid w:val="7763085D"/>
    <w:rsid w:val="77631386"/>
    <w:rsid w:val="777354A7"/>
    <w:rsid w:val="778E0EA0"/>
    <w:rsid w:val="77AF4BBA"/>
    <w:rsid w:val="77C58D31"/>
    <w:rsid w:val="77C907C2"/>
    <w:rsid w:val="782B8CE0"/>
    <w:rsid w:val="7843163C"/>
    <w:rsid w:val="786CB9C4"/>
    <w:rsid w:val="78BAAACA"/>
    <w:rsid w:val="78BE09EF"/>
    <w:rsid w:val="78D5D9DB"/>
    <w:rsid w:val="792D1419"/>
    <w:rsid w:val="792DC0E6"/>
    <w:rsid w:val="79427255"/>
    <w:rsid w:val="7964AF47"/>
    <w:rsid w:val="79690B04"/>
    <w:rsid w:val="79948CD5"/>
    <w:rsid w:val="79C3FB8D"/>
    <w:rsid w:val="79C6AB00"/>
    <w:rsid w:val="79C7C79D"/>
    <w:rsid w:val="79F2BEF8"/>
    <w:rsid w:val="7A099DE6"/>
    <w:rsid w:val="7A23429B"/>
    <w:rsid w:val="7A2409E2"/>
    <w:rsid w:val="7A3BF035"/>
    <w:rsid w:val="7A4108B5"/>
    <w:rsid w:val="7AC9BB83"/>
    <w:rsid w:val="7AE97494"/>
    <w:rsid w:val="7AF6F680"/>
    <w:rsid w:val="7B5666B9"/>
    <w:rsid w:val="7B6F42F3"/>
    <w:rsid w:val="7B851D35"/>
    <w:rsid w:val="7BA1DD22"/>
    <w:rsid w:val="7BBEDF8A"/>
    <w:rsid w:val="7BBFB766"/>
    <w:rsid w:val="7C042BB0"/>
    <w:rsid w:val="7C194EBC"/>
    <w:rsid w:val="7C22504C"/>
    <w:rsid w:val="7C34B6A8"/>
    <w:rsid w:val="7C7D38E4"/>
    <w:rsid w:val="7C88A4CC"/>
    <w:rsid w:val="7CA265AE"/>
    <w:rsid w:val="7CC8689B"/>
    <w:rsid w:val="7D16902B"/>
    <w:rsid w:val="7D6CA618"/>
    <w:rsid w:val="7D738602"/>
    <w:rsid w:val="7D752238"/>
    <w:rsid w:val="7DA6805F"/>
    <w:rsid w:val="7DACE911"/>
    <w:rsid w:val="7DB9B365"/>
    <w:rsid w:val="7DCF502D"/>
    <w:rsid w:val="7DD733E5"/>
    <w:rsid w:val="7DED0DEE"/>
    <w:rsid w:val="7E166AF6"/>
    <w:rsid w:val="7E29C2A9"/>
    <w:rsid w:val="7E4EC37F"/>
    <w:rsid w:val="7E520C75"/>
    <w:rsid w:val="7E54A765"/>
    <w:rsid w:val="7E9D29F1"/>
    <w:rsid w:val="7EA2CCA9"/>
    <w:rsid w:val="7EB40089"/>
    <w:rsid w:val="7EEA55B7"/>
    <w:rsid w:val="7EFC2938"/>
    <w:rsid w:val="7F093664"/>
    <w:rsid w:val="7F1AC147"/>
    <w:rsid w:val="7F34BD07"/>
    <w:rsid w:val="7F360D11"/>
    <w:rsid w:val="7F48042E"/>
    <w:rsid w:val="7F6C07DB"/>
    <w:rsid w:val="7FC9B1E7"/>
    <w:rsid w:val="7FCE45B1"/>
    <w:rsid w:val="7FDDCF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E99F0"/>
  <w15:docId w15:val="{BCD98BAB-940C-42BF-AAD0-14816870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240" w:lineRule="auto"/>
      <w:jc w:val="both"/>
    </w:pPr>
    <w:rPr>
      <w:rFonts w:ascii="Times New Roman" w:hAnsi="Times New Roman" w:cs="Times New Roman"/>
      <w:sz w:val="24"/>
      <w:lang w:val="sk-SK"/>
    </w:rPr>
  </w:style>
  <w:style w:type="paragraph" w:styleId="Nadpis1">
    <w:name w:val="heading 1"/>
    <w:basedOn w:val="Normlny"/>
    <w:next w:val="Text1"/>
    <w:link w:val="Nadpis1Char"/>
    <w:uiPriority w:val="9"/>
    <w:qFormat/>
    <w:pPr>
      <w:keepNext/>
      <w:numPr>
        <w:numId w:val="32"/>
      </w:numPr>
      <w:spacing w:before="360"/>
      <w:outlineLvl w:val="0"/>
    </w:pPr>
    <w:rPr>
      <w:rFonts w:eastAsiaTheme="majorEastAsia"/>
      <w:b/>
      <w:bCs/>
      <w:smallCaps/>
      <w:szCs w:val="28"/>
    </w:rPr>
  </w:style>
  <w:style w:type="paragraph" w:styleId="Nadpis2">
    <w:name w:val="heading 2"/>
    <w:basedOn w:val="Normlny"/>
    <w:next w:val="Text1"/>
    <w:link w:val="Nadpis2Char"/>
    <w:uiPriority w:val="9"/>
    <w:semiHidden/>
    <w:unhideWhenUsed/>
    <w:qFormat/>
    <w:pPr>
      <w:keepNext/>
      <w:numPr>
        <w:ilvl w:val="1"/>
        <w:numId w:val="32"/>
      </w:numPr>
      <w:outlineLvl w:val="1"/>
    </w:pPr>
    <w:rPr>
      <w:rFonts w:eastAsiaTheme="majorEastAsia"/>
      <w:b/>
      <w:bCs/>
      <w:szCs w:val="26"/>
    </w:rPr>
  </w:style>
  <w:style w:type="paragraph" w:styleId="Nadpis3">
    <w:name w:val="heading 3"/>
    <w:basedOn w:val="Normlny"/>
    <w:next w:val="Text1"/>
    <w:link w:val="Nadpis3Char"/>
    <w:uiPriority w:val="9"/>
    <w:semiHidden/>
    <w:unhideWhenUsed/>
    <w:qFormat/>
    <w:pPr>
      <w:keepNext/>
      <w:numPr>
        <w:ilvl w:val="2"/>
        <w:numId w:val="32"/>
      </w:numPr>
      <w:outlineLvl w:val="2"/>
    </w:pPr>
    <w:rPr>
      <w:rFonts w:eastAsiaTheme="majorEastAsia"/>
      <w:bCs/>
      <w:i/>
    </w:rPr>
  </w:style>
  <w:style w:type="paragraph" w:styleId="Nadpis4">
    <w:name w:val="heading 4"/>
    <w:basedOn w:val="Normlny"/>
    <w:next w:val="Text1"/>
    <w:link w:val="Nadpis4Char"/>
    <w:uiPriority w:val="9"/>
    <w:semiHidden/>
    <w:unhideWhenUsed/>
    <w:qFormat/>
    <w:pPr>
      <w:keepNext/>
      <w:numPr>
        <w:ilvl w:val="3"/>
        <w:numId w:val="32"/>
      </w:numPr>
      <w:outlineLvl w:val="3"/>
    </w:pPr>
    <w:rPr>
      <w:rFonts w:eastAsiaTheme="majorEastAsia"/>
      <w:bCs/>
      <w:iCs/>
    </w:rPr>
  </w:style>
  <w:style w:type="paragraph" w:styleId="Nadpis5">
    <w:name w:val="heading 5"/>
    <w:basedOn w:val="Normlny"/>
    <w:next w:val="Text2"/>
    <w:link w:val="Nadpis5Char"/>
    <w:uiPriority w:val="9"/>
    <w:semiHidden/>
    <w:unhideWhenUsed/>
    <w:qFormat/>
    <w:pPr>
      <w:keepNext/>
      <w:numPr>
        <w:ilvl w:val="4"/>
        <w:numId w:val="32"/>
      </w:numPr>
      <w:outlineLvl w:val="4"/>
    </w:pPr>
    <w:rPr>
      <w:rFonts w:eastAsiaTheme="majorEastAsia"/>
    </w:rPr>
  </w:style>
  <w:style w:type="paragraph" w:styleId="Nadpis6">
    <w:name w:val="heading 6"/>
    <w:basedOn w:val="Normlny"/>
    <w:next w:val="Text2"/>
    <w:link w:val="Nadpis6Char"/>
    <w:uiPriority w:val="9"/>
    <w:semiHidden/>
    <w:unhideWhenUsed/>
    <w:qFormat/>
    <w:pPr>
      <w:keepNext/>
      <w:numPr>
        <w:ilvl w:val="5"/>
        <w:numId w:val="32"/>
      </w:numPr>
      <w:outlineLvl w:val="5"/>
    </w:pPr>
    <w:rPr>
      <w:rFonts w:eastAsiaTheme="majorEastAsia"/>
      <w:iCs/>
    </w:rPr>
  </w:style>
  <w:style w:type="paragraph" w:styleId="Nadpis7">
    <w:name w:val="heading 7"/>
    <w:basedOn w:val="Normlny"/>
    <w:next w:val="Text2"/>
    <w:link w:val="Nadpis7Char"/>
    <w:uiPriority w:val="9"/>
    <w:semiHidden/>
    <w:unhideWhenUsed/>
    <w:qFormat/>
    <w:pPr>
      <w:keepNext/>
      <w:numPr>
        <w:ilvl w:val="6"/>
        <w:numId w:val="32"/>
      </w:numPr>
      <w:outlineLvl w:val="6"/>
    </w:pPr>
    <w:rPr>
      <w:rFonts w:eastAsiaTheme="majorEastAsia"/>
      <w:iCs/>
    </w:rPr>
  </w:style>
  <w:style w:type="paragraph" w:styleId="Nadpis8">
    <w:name w:val="heading 8"/>
    <w:basedOn w:val="Normlny"/>
    <w:link w:val="Nadpis8Char"/>
    <w:uiPriority w:val="1"/>
    <w:qFormat/>
    <w:rsid w:val="007C3E99"/>
    <w:pPr>
      <w:widowControl w:val="0"/>
      <w:autoSpaceDE w:val="0"/>
      <w:autoSpaceDN w:val="0"/>
      <w:spacing w:before="0" w:after="0"/>
      <w:ind w:left="1175" w:hanging="360"/>
      <w:jc w:val="left"/>
      <w:outlineLvl w:val="7"/>
    </w:pPr>
    <w:rPr>
      <w:rFonts w:ascii="Arial" w:eastAsia="Arial" w:hAnsi="Arial" w:cs="Arial"/>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4">
    <w:name w:val="List Bullet 4"/>
    <w:basedOn w:val="Normlny"/>
    <w:rsid w:val="00EF7953"/>
    <w:pPr>
      <w:numPr>
        <w:numId w:val="2"/>
      </w:numPr>
    </w:pPr>
    <w:rPr>
      <w:rFonts w:eastAsia="Times New Roman"/>
      <w:lang w:eastAsia="de-DE"/>
    </w:rPr>
  </w:style>
  <w:style w:type="paragraph" w:styleId="slovanzoznam">
    <w:name w:val="List Number"/>
    <w:basedOn w:val="Normlny"/>
    <w:rsid w:val="00EF7953"/>
    <w:pPr>
      <w:numPr>
        <w:numId w:val="6"/>
      </w:numPr>
    </w:pPr>
    <w:rPr>
      <w:rFonts w:eastAsia="Times New Roman"/>
      <w:lang w:eastAsia="de-DE"/>
    </w:rPr>
  </w:style>
  <w:style w:type="paragraph" w:customStyle="1" w:styleId="ListBullet1">
    <w:name w:val="List Bullet 1"/>
    <w:basedOn w:val="Normlny"/>
    <w:rsid w:val="00EF7953"/>
    <w:pPr>
      <w:numPr>
        <w:numId w:val="1"/>
      </w:numPr>
    </w:pPr>
    <w:rPr>
      <w:rFonts w:eastAsia="Times New Roman"/>
      <w:lang w:eastAsia="de-DE"/>
    </w:rPr>
  </w:style>
  <w:style w:type="paragraph" w:customStyle="1" w:styleId="ListDash">
    <w:name w:val="List Dash"/>
    <w:basedOn w:val="Normlny"/>
    <w:rsid w:val="00EF7953"/>
    <w:pPr>
      <w:numPr>
        <w:numId w:val="3"/>
      </w:numPr>
    </w:pPr>
    <w:rPr>
      <w:rFonts w:eastAsia="Times New Roman"/>
      <w:lang w:eastAsia="de-DE"/>
    </w:rPr>
  </w:style>
  <w:style w:type="paragraph" w:customStyle="1" w:styleId="ListDash1">
    <w:name w:val="List Dash 1"/>
    <w:basedOn w:val="Normlny"/>
    <w:rsid w:val="00EF7953"/>
    <w:pPr>
      <w:numPr>
        <w:numId w:val="4"/>
      </w:numPr>
    </w:pPr>
    <w:rPr>
      <w:rFonts w:eastAsia="Times New Roman"/>
      <w:lang w:eastAsia="de-DE"/>
    </w:rPr>
  </w:style>
  <w:style w:type="paragraph" w:customStyle="1" w:styleId="ListDash2">
    <w:name w:val="List Dash 2"/>
    <w:basedOn w:val="Normlny"/>
    <w:rsid w:val="00EF7953"/>
    <w:pPr>
      <w:numPr>
        <w:numId w:val="5"/>
      </w:numPr>
    </w:pPr>
    <w:rPr>
      <w:rFonts w:eastAsia="Times New Roman"/>
      <w:lang w:eastAsia="de-DE"/>
    </w:rPr>
  </w:style>
  <w:style w:type="paragraph" w:customStyle="1" w:styleId="ListNumberLevel2">
    <w:name w:val="List Number (Level 2)"/>
    <w:basedOn w:val="Normlny"/>
    <w:rsid w:val="00EF7953"/>
    <w:pPr>
      <w:numPr>
        <w:ilvl w:val="1"/>
        <w:numId w:val="6"/>
      </w:numPr>
    </w:pPr>
    <w:rPr>
      <w:rFonts w:eastAsia="Times New Roman"/>
      <w:lang w:eastAsia="de-DE"/>
    </w:rPr>
  </w:style>
  <w:style w:type="paragraph" w:customStyle="1" w:styleId="ListNumberLevel3">
    <w:name w:val="List Number (Level 3)"/>
    <w:basedOn w:val="Normlny"/>
    <w:rsid w:val="00EF7953"/>
    <w:pPr>
      <w:numPr>
        <w:ilvl w:val="2"/>
        <w:numId w:val="6"/>
      </w:numPr>
    </w:pPr>
    <w:rPr>
      <w:rFonts w:eastAsia="Times New Roman"/>
      <w:lang w:eastAsia="de-DE"/>
    </w:rPr>
  </w:style>
  <w:style w:type="paragraph" w:customStyle="1" w:styleId="ListNumberLevel4">
    <w:name w:val="List Number (Level 4)"/>
    <w:basedOn w:val="Normlny"/>
    <w:rsid w:val="00EF7953"/>
    <w:pPr>
      <w:numPr>
        <w:ilvl w:val="3"/>
        <w:numId w:val="6"/>
      </w:numPr>
    </w:pPr>
    <w:rPr>
      <w:rFonts w:eastAsia="Times New Roman"/>
      <w:lang w:eastAsia="de-DE"/>
    </w:rPr>
  </w:style>
  <w:style w:type="table" w:styleId="Mriekatabuky">
    <w:name w:val="Table Grid"/>
    <w:basedOn w:val="Normlnatabuka"/>
    <w:rsid w:val="00EF7953"/>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EF7953"/>
    <w:rPr>
      <w:color w:val="0000FF"/>
      <w:u w:val="single"/>
    </w:rPr>
  </w:style>
  <w:style w:type="paragraph" w:styleId="Zoznamsodrkami">
    <w:name w:val="List Bullet"/>
    <w:basedOn w:val="Normlny"/>
    <w:rsid w:val="00EF7953"/>
    <w:pPr>
      <w:numPr>
        <w:numId w:val="7"/>
      </w:numPr>
    </w:pPr>
    <w:rPr>
      <w:rFonts w:eastAsia="Times New Roman"/>
      <w:lang w:eastAsia="en-GB"/>
    </w:rPr>
  </w:style>
  <w:style w:type="paragraph" w:styleId="Zoznamsodrkami2">
    <w:name w:val="List Bullet 2"/>
    <w:basedOn w:val="Normlny"/>
    <w:rsid w:val="00EF7953"/>
    <w:pPr>
      <w:numPr>
        <w:numId w:val="8"/>
      </w:numPr>
    </w:pPr>
    <w:rPr>
      <w:rFonts w:eastAsia="Times New Roman"/>
      <w:lang w:eastAsia="en-GB"/>
    </w:rPr>
  </w:style>
  <w:style w:type="paragraph" w:styleId="Zoznamsodrkami3">
    <w:name w:val="List Bullet 3"/>
    <w:basedOn w:val="Normlny"/>
    <w:rsid w:val="00EF7953"/>
    <w:pPr>
      <w:numPr>
        <w:numId w:val="9"/>
      </w:numPr>
    </w:pPr>
    <w:rPr>
      <w:rFonts w:eastAsia="Times New Roman"/>
      <w:lang w:eastAsia="en-GB"/>
    </w:rPr>
  </w:style>
  <w:style w:type="paragraph" w:styleId="slovanzoznam2">
    <w:name w:val="List Number 2"/>
    <w:basedOn w:val="Normlny"/>
    <w:rsid w:val="00EF7953"/>
    <w:pPr>
      <w:numPr>
        <w:numId w:val="13"/>
      </w:numPr>
    </w:pPr>
    <w:rPr>
      <w:rFonts w:eastAsia="Times New Roman"/>
      <w:lang w:eastAsia="en-GB"/>
    </w:rPr>
  </w:style>
  <w:style w:type="paragraph" w:styleId="slovanzoznam3">
    <w:name w:val="List Number 3"/>
    <w:basedOn w:val="Normlny"/>
    <w:rsid w:val="00EF7953"/>
    <w:pPr>
      <w:numPr>
        <w:numId w:val="14"/>
      </w:numPr>
    </w:pPr>
    <w:rPr>
      <w:rFonts w:eastAsia="Times New Roman"/>
      <w:lang w:eastAsia="en-GB"/>
    </w:rPr>
  </w:style>
  <w:style w:type="paragraph" w:styleId="slovanzoznam4">
    <w:name w:val="List Number 4"/>
    <w:basedOn w:val="Normlny"/>
    <w:rsid w:val="00EF7953"/>
    <w:pPr>
      <w:numPr>
        <w:numId w:val="15"/>
      </w:numPr>
    </w:pPr>
    <w:rPr>
      <w:rFonts w:eastAsia="Times New Roman"/>
      <w:lang w:eastAsia="en-GB"/>
    </w:rPr>
  </w:style>
  <w:style w:type="paragraph" w:customStyle="1" w:styleId="ListDash3">
    <w:name w:val="List Dash 3"/>
    <w:basedOn w:val="Normlny"/>
    <w:rsid w:val="00EF7953"/>
    <w:pPr>
      <w:numPr>
        <w:numId w:val="10"/>
      </w:numPr>
    </w:pPr>
    <w:rPr>
      <w:rFonts w:eastAsia="Times New Roman"/>
      <w:lang w:eastAsia="en-GB"/>
    </w:rPr>
  </w:style>
  <w:style w:type="paragraph" w:customStyle="1" w:styleId="ListDash4">
    <w:name w:val="List Dash 4"/>
    <w:basedOn w:val="Normlny"/>
    <w:rsid w:val="00EF7953"/>
    <w:pPr>
      <w:numPr>
        <w:numId w:val="11"/>
      </w:numPr>
    </w:pPr>
    <w:rPr>
      <w:rFonts w:eastAsia="Times New Roman"/>
      <w:lang w:eastAsia="en-GB"/>
    </w:rPr>
  </w:style>
  <w:style w:type="paragraph" w:customStyle="1" w:styleId="ListNumber1">
    <w:name w:val="List Number 1"/>
    <w:basedOn w:val="Text1"/>
    <w:rsid w:val="00EF7953"/>
    <w:pPr>
      <w:numPr>
        <w:numId w:val="12"/>
      </w:numPr>
    </w:pPr>
    <w:rPr>
      <w:rFonts w:eastAsia="Times New Roman"/>
      <w:lang w:eastAsia="en-GB"/>
    </w:rPr>
  </w:style>
  <w:style w:type="paragraph" w:customStyle="1" w:styleId="ListNumber1Level2">
    <w:name w:val="List Number 1 (Level 2)"/>
    <w:basedOn w:val="Text1"/>
    <w:rsid w:val="00EF7953"/>
    <w:pPr>
      <w:numPr>
        <w:ilvl w:val="1"/>
        <w:numId w:val="12"/>
      </w:numPr>
    </w:pPr>
    <w:rPr>
      <w:rFonts w:eastAsia="Times New Roman"/>
      <w:lang w:eastAsia="en-GB"/>
    </w:rPr>
  </w:style>
  <w:style w:type="paragraph" w:customStyle="1" w:styleId="ListNumber2Level2">
    <w:name w:val="List Number 2 (Level 2)"/>
    <w:basedOn w:val="Text2"/>
    <w:rsid w:val="00EF7953"/>
    <w:pPr>
      <w:numPr>
        <w:ilvl w:val="1"/>
        <w:numId w:val="13"/>
      </w:numPr>
    </w:pPr>
    <w:rPr>
      <w:rFonts w:eastAsia="Times New Roman"/>
      <w:lang w:eastAsia="en-GB"/>
    </w:rPr>
  </w:style>
  <w:style w:type="paragraph" w:customStyle="1" w:styleId="ListNumber3Level2">
    <w:name w:val="List Number 3 (Level 2)"/>
    <w:basedOn w:val="Text3"/>
    <w:rsid w:val="00EF7953"/>
    <w:pPr>
      <w:numPr>
        <w:ilvl w:val="1"/>
        <w:numId w:val="14"/>
      </w:numPr>
    </w:pPr>
    <w:rPr>
      <w:rFonts w:eastAsia="Times New Roman"/>
      <w:lang w:eastAsia="en-GB"/>
    </w:rPr>
  </w:style>
  <w:style w:type="paragraph" w:customStyle="1" w:styleId="ListNumber4Level2">
    <w:name w:val="List Number 4 (Level 2)"/>
    <w:basedOn w:val="Text4"/>
    <w:rsid w:val="00EF7953"/>
    <w:pPr>
      <w:numPr>
        <w:ilvl w:val="1"/>
        <w:numId w:val="15"/>
      </w:numPr>
    </w:pPr>
    <w:rPr>
      <w:rFonts w:eastAsia="Times New Roman"/>
      <w:lang w:eastAsia="en-GB"/>
    </w:rPr>
  </w:style>
  <w:style w:type="paragraph" w:customStyle="1" w:styleId="ListNumber1Level3">
    <w:name w:val="List Number 1 (Level 3)"/>
    <w:basedOn w:val="Text1"/>
    <w:rsid w:val="00EF7953"/>
    <w:pPr>
      <w:numPr>
        <w:ilvl w:val="2"/>
        <w:numId w:val="12"/>
      </w:numPr>
    </w:pPr>
    <w:rPr>
      <w:rFonts w:eastAsia="Times New Roman"/>
      <w:lang w:eastAsia="en-GB"/>
    </w:rPr>
  </w:style>
  <w:style w:type="paragraph" w:customStyle="1" w:styleId="ListNumber2Level3">
    <w:name w:val="List Number 2 (Level 3)"/>
    <w:basedOn w:val="Text2"/>
    <w:rsid w:val="00EF7953"/>
    <w:pPr>
      <w:numPr>
        <w:ilvl w:val="2"/>
        <w:numId w:val="13"/>
      </w:numPr>
    </w:pPr>
    <w:rPr>
      <w:rFonts w:eastAsia="Times New Roman"/>
      <w:lang w:eastAsia="en-GB"/>
    </w:rPr>
  </w:style>
  <w:style w:type="paragraph" w:customStyle="1" w:styleId="ListNumber3Level3">
    <w:name w:val="List Number 3 (Level 3)"/>
    <w:basedOn w:val="Text3"/>
    <w:rsid w:val="00EF7953"/>
    <w:pPr>
      <w:numPr>
        <w:ilvl w:val="2"/>
        <w:numId w:val="14"/>
      </w:numPr>
    </w:pPr>
    <w:rPr>
      <w:rFonts w:eastAsia="Times New Roman"/>
      <w:lang w:eastAsia="en-GB"/>
    </w:rPr>
  </w:style>
  <w:style w:type="paragraph" w:customStyle="1" w:styleId="ListNumber4Level3">
    <w:name w:val="List Number 4 (Level 3)"/>
    <w:basedOn w:val="Text4"/>
    <w:rsid w:val="00EF7953"/>
    <w:pPr>
      <w:numPr>
        <w:ilvl w:val="2"/>
        <w:numId w:val="15"/>
      </w:numPr>
    </w:pPr>
    <w:rPr>
      <w:rFonts w:eastAsia="Times New Roman"/>
      <w:lang w:eastAsia="en-GB"/>
    </w:rPr>
  </w:style>
  <w:style w:type="paragraph" w:customStyle="1" w:styleId="ListNumber1Level4">
    <w:name w:val="List Number 1 (Level 4)"/>
    <w:basedOn w:val="Text1"/>
    <w:rsid w:val="00EF7953"/>
    <w:pPr>
      <w:numPr>
        <w:ilvl w:val="3"/>
        <w:numId w:val="12"/>
      </w:numPr>
    </w:pPr>
    <w:rPr>
      <w:rFonts w:eastAsia="Times New Roman"/>
      <w:lang w:eastAsia="en-GB"/>
    </w:rPr>
  </w:style>
  <w:style w:type="paragraph" w:customStyle="1" w:styleId="ListNumber2Level4">
    <w:name w:val="List Number 2 (Level 4)"/>
    <w:basedOn w:val="Text2"/>
    <w:rsid w:val="00EF7953"/>
    <w:pPr>
      <w:numPr>
        <w:ilvl w:val="3"/>
        <w:numId w:val="13"/>
      </w:numPr>
    </w:pPr>
    <w:rPr>
      <w:rFonts w:eastAsia="Times New Roman"/>
      <w:lang w:eastAsia="en-GB"/>
    </w:rPr>
  </w:style>
  <w:style w:type="paragraph" w:customStyle="1" w:styleId="ListNumber3Level4">
    <w:name w:val="List Number 3 (Level 4)"/>
    <w:basedOn w:val="Text3"/>
    <w:rsid w:val="00EF7953"/>
    <w:pPr>
      <w:numPr>
        <w:ilvl w:val="3"/>
        <w:numId w:val="14"/>
      </w:numPr>
    </w:pPr>
    <w:rPr>
      <w:rFonts w:eastAsia="Times New Roman"/>
      <w:lang w:eastAsia="en-GB"/>
    </w:rPr>
  </w:style>
  <w:style w:type="paragraph" w:customStyle="1" w:styleId="ListNumber4Level4">
    <w:name w:val="List Number 4 (Level 4)"/>
    <w:basedOn w:val="Text4"/>
    <w:rsid w:val="00EF7953"/>
    <w:pPr>
      <w:numPr>
        <w:ilvl w:val="3"/>
        <w:numId w:val="15"/>
      </w:numPr>
    </w:pPr>
    <w:rPr>
      <w:rFonts w:eastAsia="Times New Roman"/>
      <w:lang w:eastAsia="en-GB"/>
    </w:rPr>
  </w:style>
  <w:style w:type="paragraph" w:customStyle="1" w:styleId="Annexetitreacte">
    <w:name w:val="Annexe titre (acte)"/>
    <w:basedOn w:val="Normlny"/>
    <w:next w:val="Normlny"/>
    <w:rsid w:val="00EF7953"/>
    <w:pPr>
      <w:jc w:val="center"/>
    </w:pPr>
    <w:rPr>
      <w:rFonts w:eastAsia="Times New Roman"/>
      <w:b/>
      <w:u w:val="single"/>
      <w:lang w:eastAsia="en-GB"/>
    </w:rPr>
  </w:style>
  <w:style w:type="paragraph" w:customStyle="1" w:styleId="Annexetitreexposglobal">
    <w:name w:val="Annexe titre (exposé global)"/>
    <w:basedOn w:val="Normlny"/>
    <w:next w:val="Normlny"/>
    <w:rsid w:val="00EF7953"/>
    <w:pPr>
      <w:jc w:val="center"/>
    </w:pPr>
    <w:rPr>
      <w:rFonts w:eastAsia="Times New Roman"/>
      <w:b/>
      <w:u w:val="single"/>
      <w:lang w:eastAsia="en-GB"/>
    </w:rPr>
  </w:style>
  <w:style w:type="paragraph" w:customStyle="1" w:styleId="Annexetitrefichefinacte">
    <w:name w:val="Annexe titre (fiche fin. acte)"/>
    <w:basedOn w:val="Normlny"/>
    <w:next w:val="Normlny"/>
    <w:rsid w:val="00EF7953"/>
    <w:pPr>
      <w:jc w:val="center"/>
    </w:pPr>
    <w:rPr>
      <w:rFonts w:eastAsia="Times New Roman"/>
      <w:b/>
      <w:u w:val="single"/>
      <w:lang w:eastAsia="en-GB"/>
    </w:rPr>
  </w:style>
  <w:style w:type="paragraph" w:customStyle="1" w:styleId="Annexetitrefichefinglobale">
    <w:name w:val="Annexe titre (fiche fin. globale)"/>
    <w:basedOn w:val="Normlny"/>
    <w:next w:val="Normlny"/>
    <w:rsid w:val="00EF7953"/>
    <w:pPr>
      <w:jc w:val="center"/>
    </w:pPr>
    <w:rPr>
      <w:rFonts w:eastAsia="Times New Roman"/>
      <w:b/>
      <w:u w:val="single"/>
      <w:lang w:eastAsia="en-GB"/>
    </w:rPr>
  </w:style>
  <w:style w:type="paragraph" w:customStyle="1" w:styleId="Annexetitreglobale">
    <w:name w:val="Annexe titre (globale)"/>
    <w:basedOn w:val="Normlny"/>
    <w:next w:val="Normlny"/>
    <w:rsid w:val="00EF7953"/>
    <w:pPr>
      <w:jc w:val="center"/>
    </w:pPr>
    <w:rPr>
      <w:rFonts w:eastAsia="Times New Roman"/>
      <w:b/>
      <w:u w:val="single"/>
      <w:lang w:eastAsia="en-GB"/>
    </w:rPr>
  </w:style>
  <w:style w:type="paragraph" w:customStyle="1" w:styleId="Exposdesmotifstitreglobal">
    <w:name w:val="Exposé des motifs titre (global)"/>
    <w:basedOn w:val="Normlny"/>
    <w:next w:val="Normlny"/>
    <w:rsid w:val="00EF7953"/>
    <w:pPr>
      <w:jc w:val="center"/>
    </w:pPr>
    <w:rPr>
      <w:rFonts w:eastAsia="Times New Roman"/>
      <w:b/>
      <w:u w:val="single"/>
      <w:lang w:eastAsia="en-GB"/>
    </w:rPr>
  </w:style>
  <w:style w:type="paragraph" w:customStyle="1" w:styleId="Langueoriginale">
    <w:name w:val="Langue originale"/>
    <w:basedOn w:val="Normlny"/>
    <w:rsid w:val="00EF7953"/>
    <w:pPr>
      <w:spacing w:before="360"/>
      <w:jc w:val="center"/>
    </w:pPr>
    <w:rPr>
      <w:rFonts w:eastAsia="Times New Roman"/>
      <w:caps/>
      <w:lang w:eastAsia="en-GB"/>
    </w:rPr>
  </w:style>
  <w:style w:type="paragraph" w:customStyle="1" w:styleId="Phrasefinale">
    <w:name w:val="Phrase finale"/>
    <w:basedOn w:val="Normlny"/>
    <w:next w:val="Normlny"/>
    <w:rsid w:val="00EF7953"/>
    <w:pPr>
      <w:spacing w:before="360" w:after="0"/>
      <w:jc w:val="center"/>
    </w:pPr>
    <w:rPr>
      <w:rFonts w:eastAsia="Times New Roman"/>
      <w:lang w:eastAsia="en-GB"/>
    </w:rPr>
  </w:style>
  <w:style w:type="paragraph" w:customStyle="1" w:styleId="Prliminairetitre">
    <w:name w:val="Préliminaire titre"/>
    <w:basedOn w:val="Normlny"/>
    <w:next w:val="Normlny"/>
    <w:rsid w:val="00EF7953"/>
    <w:pPr>
      <w:spacing w:before="360" w:after="360"/>
      <w:jc w:val="center"/>
    </w:pPr>
    <w:rPr>
      <w:rFonts w:eastAsia="Times New Roman"/>
      <w:b/>
      <w:lang w:eastAsia="en-GB"/>
    </w:rPr>
  </w:style>
  <w:style w:type="paragraph" w:customStyle="1" w:styleId="Prliminairetype">
    <w:name w:val="Préliminaire type"/>
    <w:basedOn w:val="Normlny"/>
    <w:next w:val="Normlny"/>
    <w:rsid w:val="00EF7953"/>
    <w:pPr>
      <w:spacing w:before="360" w:after="0"/>
      <w:jc w:val="center"/>
    </w:pPr>
    <w:rPr>
      <w:rFonts w:eastAsia="Times New Roman"/>
      <w:b/>
      <w:lang w:eastAsia="en-GB"/>
    </w:rPr>
  </w:style>
  <w:style w:type="paragraph" w:customStyle="1" w:styleId="Rfrenceinstitutionelle">
    <w:name w:val="Référence institutionelle"/>
    <w:basedOn w:val="Normlny"/>
    <w:next w:val="Statut"/>
    <w:rsid w:val="00EF7953"/>
    <w:pPr>
      <w:spacing w:before="0" w:after="240"/>
      <w:ind w:left="5103"/>
      <w:jc w:val="left"/>
    </w:pPr>
    <w:rPr>
      <w:rFonts w:eastAsia="Times New Roman"/>
      <w:lang w:eastAsia="en-GB"/>
    </w:rPr>
  </w:style>
  <w:style w:type="paragraph" w:customStyle="1" w:styleId="Rfrenceinterinstitutionelle">
    <w:name w:val="Référence interinstitutionelle"/>
    <w:basedOn w:val="Normlny"/>
    <w:next w:val="Statut"/>
    <w:rsid w:val="00EF795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lny"/>
    <w:next w:val="Normlny"/>
    <w:rsid w:val="00EF7953"/>
    <w:pPr>
      <w:spacing w:before="0" w:after="0"/>
      <w:ind w:left="5103"/>
      <w:jc w:val="left"/>
    </w:pPr>
    <w:rPr>
      <w:rFonts w:eastAsia="Times New Roman"/>
      <w:lang w:eastAsia="en-GB"/>
    </w:rPr>
  </w:style>
  <w:style w:type="paragraph" w:customStyle="1" w:styleId="Sous-titreobjetprliminaire">
    <w:name w:val="Sous-titre objet (préliminaire)"/>
    <w:basedOn w:val="Normlny"/>
    <w:rsid w:val="00EF7953"/>
    <w:pPr>
      <w:spacing w:before="0" w:after="0"/>
      <w:jc w:val="center"/>
    </w:pPr>
    <w:rPr>
      <w:rFonts w:eastAsia="Times New Roman"/>
      <w:b/>
      <w:lang w:eastAsia="en-GB"/>
    </w:rPr>
  </w:style>
  <w:style w:type="paragraph" w:customStyle="1" w:styleId="Statutprliminaire">
    <w:name w:val="Statut (préliminaire)"/>
    <w:basedOn w:val="Normlny"/>
    <w:next w:val="Normlny"/>
    <w:rsid w:val="00EF7953"/>
    <w:pPr>
      <w:spacing w:before="360" w:after="0"/>
      <w:jc w:val="center"/>
    </w:pPr>
    <w:rPr>
      <w:rFonts w:eastAsia="Times New Roman"/>
      <w:lang w:eastAsia="en-GB"/>
    </w:rPr>
  </w:style>
  <w:style w:type="paragraph" w:customStyle="1" w:styleId="Titreobjetprliminaire">
    <w:name w:val="Titre objet (préliminaire)"/>
    <w:basedOn w:val="Normlny"/>
    <w:next w:val="Normlny"/>
    <w:rsid w:val="00EF7953"/>
    <w:pPr>
      <w:spacing w:before="360" w:after="360"/>
      <w:jc w:val="center"/>
    </w:pPr>
    <w:rPr>
      <w:rFonts w:eastAsia="Times New Roman"/>
      <w:b/>
      <w:lang w:eastAsia="en-GB"/>
    </w:rPr>
  </w:style>
  <w:style w:type="paragraph" w:customStyle="1" w:styleId="Typedudocumentprliminaire">
    <w:name w:val="Type du document (préliminaire)"/>
    <w:basedOn w:val="Normlny"/>
    <w:next w:val="Normlny"/>
    <w:rsid w:val="00EF7953"/>
    <w:pPr>
      <w:spacing w:before="360" w:after="0"/>
      <w:jc w:val="center"/>
    </w:pPr>
    <w:rPr>
      <w:rFonts w:eastAsia="Times New Roman"/>
      <w:b/>
      <w:lang w:eastAsia="en-GB"/>
    </w:rPr>
  </w:style>
  <w:style w:type="paragraph" w:customStyle="1" w:styleId="Fichefinancirestandardtitre">
    <w:name w:val="Fiche financière (standard) titre"/>
    <w:basedOn w:val="Normlny"/>
    <w:next w:val="Normlny"/>
    <w:rsid w:val="00EF7953"/>
    <w:pPr>
      <w:jc w:val="center"/>
    </w:pPr>
    <w:rPr>
      <w:rFonts w:eastAsia="Times New Roman"/>
      <w:b/>
      <w:u w:val="single"/>
      <w:lang w:eastAsia="en-GB"/>
    </w:rPr>
  </w:style>
  <w:style w:type="paragraph" w:customStyle="1" w:styleId="Fichefinancirestandardtitreacte">
    <w:name w:val="Fiche financière (standard) titre (acte)"/>
    <w:basedOn w:val="Normlny"/>
    <w:next w:val="Normlny"/>
    <w:rsid w:val="00EF7953"/>
    <w:pPr>
      <w:jc w:val="center"/>
    </w:pPr>
    <w:rPr>
      <w:rFonts w:eastAsia="Times New Roman"/>
      <w:b/>
      <w:u w:val="single"/>
      <w:lang w:eastAsia="en-GB"/>
    </w:rPr>
  </w:style>
  <w:style w:type="paragraph" w:customStyle="1" w:styleId="Fichefinanciretravailtitre">
    <w:name w:val="Fiche financière (travail) titre"/>
    <w:basedOn w:val="Normlny"/>
    <w:next w:val="Normlny"/>
    <w:rsid w:val="00EF7953"/>
    <w:pPr>
      <w:jc w:val="center"/>
    </w:pPr>
    <w:rPr>
      <w:rFonts w:eastAsia="Times New Roman"/>
      <w:b/>
      <w:u w:val="single"/>
      <w:lang w:eastAsia="en-GB"/>
    </w:rPr>
  </w:style>
  <w:style w:type="paragraph" w:customStyle="1" w:styleId="Fichefinanciretravailtitreacte">
    <w:name w:val="Fiche financière (travail) titre (acte)"/>
    <w:basedOn w:val="Normlny"/>
    <w:next w:val="Normlny"/>
    <w:rsid w:val="00EF7953"/>
    <w:pPr>
      <w:jc w:val="center"/>
    </w:pPr>
    <w:rPr>
      <w:rFonts w:eastAsia="Times New Roman"/>
      <w:b/>
      <w:u w:val="single"/>
      <w:lang w:eastAsia="en-GB"/>
    </w:rPr>
  </w:style>
  <w:style w:type="paragraph" w:customStyle="1" w:styleId="Fichefinancireattributiontitre">
    <w:name w:val="Fiche financière (attribution) titre"/>
    <w:basedOn w:val="Normlny"/>
    <w:next w:val="Normlny"/>
    <w:rsid w:val="00EF7953"/>
    <w:pPr>
      <w:jc w:val="center"/>
    </w:pPr>
    <w:rPr>
      <w:rFonts w:eastAsia="Times New Roman"/>
      <w:b/>
      <w:u w:val="single"/>
      <w:lang w:eastAsia="en-GB"/>
    </w:rPr>
  </w:style>
  <w:style w:type="paragraph" w:customStyle="1" w:styleId="Fichefinancireattributiontitreacte">
    <w:name w:val="Fiche financière (attribution) titre (acte)"/>
    <w:basedOn w:val="Normlny"/>
    <w:next w:val="Normlny"/>
    <w:rsid w:val="00EF7953"/>
    <w:pPr>
      <w:jc w:val="center"/>
    </w:pPr>
    <w:rPr>
      <w:rFonts w:eastAsia="Times New Roman"/>
      <w:b/>
      <w:u w:val="single"/>
      <w:lang w:eastAsia="en-GB"/>
    </w:rPr>
  </w:style>
  <w:style w:type="character" w:styleId="Odkaznakomentr">
    <w:name w:val="annotation reference"/>
    <w:uiPriority w:val="99"/>
    <w:rsid w:val="00EF7953"/>
    <w:rPr>
      <w:rFonts w:cs="Times New Roman"/>
      <w:sz w:val="16"/>
      <w:szCs w:val="16"/>
    </w:rPr>
  </w:style>
  <w:style w:type="paragraph" w:styleId="Textkomentra">
    <w:name w:val="annotation text"/>
    <w:basedOn w:val="Normlny"/>
    <w:link w:val="TextkomentraChar"/>
    <w:uiPriority w:val="99"/>
    <w:rsid w:val="00EF7953"/>
    <w:rPr>
      <w:rFonts w:eastAsia="Times New Roman"/>
      <w:sz w:val="20"/>
      <w:szCs w:val="20"/>
      <w:lang w:eastAsia="en-GB"/>
    </w:rPr>
  </w:style>
  <w:style w:type="character" w:customStyle="1" w:styleId="TextkomentraChar">
    <w:name w:val="Text komentára Char"/>
    <w:basedOn w:val="Predvolenpsmoodseku"/>
    <w:link w:val="Textkomentra"/>
    <w:uiPriority w:val="99"/>
    <w:rsid w:val="00EF7953"/>
    <w:rPr>
      <w:rFonts w:ascii="Times New Roman" w:eastAsia="Times New Roman" w:hAnsi="Times New Roman" w:cs="Times New Roman"/>
      <w:sz w:val="20"/>
      <w:szCs w:val="20"/>
      <w:lang w:val="sk-SK" w:eastAsia="en-GB"/>
    </w:rPr>
  </w:style>
  <w:style w:type="paragraph" w:styleId="Predmetkomentra">
    <w:name w:val="annotation subject"/>
    <w:basedOn w:val="Textkomentra"/>
    <w:next w:val="Textkomentra"/>
    <w:link w:val="PredmetkomentraChar"/>
    <w:uiPriority w:val="99"/>
    <w:rsid w:val="00EF7953"/>
    <w:rPr>
      <w:b/>
      <w:bCs/>
    </w:rPr>
  </w:style>
  <w:style w:type="character" w:customStyle="1" w:styleId="PredmetkomentraChar">
    <w:name w:val="Predmet komentára Char"/>
    <w:basedOn w:val="TextkomentraChar"/>
    <w:link w:val="Predmetkomentra"/>
    <w:uiPriority w:val="99"/>
    <w:rsid w:val="00EF7953"/>
    <w:rPr>
      <w:rFonts w:ascii="Times New Roman" w:eastAsia="Times New Roman" w:hAnsi="Times New Roman" w:cs="Times New Roman"/>
      <w:b/>
      <w:bCs/>
      <w:sz w:val="20"/>
      <w:szCs w:val="20"/>
      <w:lang w:val="sk-SK" w:eastAsia="en-GB"/>
    </w:rPr>
  </w:style>
  <w:style w:type="paragraph" w:styleId="Textbubliny">
    <w:name w:val="Balloon Text"/>
    <w:basedOn w:val="Normlny"/>
    <w:link w:val="TextbublinyChar"/>
    <w:rsid w:val="00EF7953"/>
    <w:rPr>
      <w:rFonts w:ascii="Tahoma" w:eastAsia="Times New Roman" w:hAnsi="Tahoma" w:cs="Tahoma"/>
      <w:sz w:val="16"/>
      <w:szCs w:val="16"/>
      <w:lang w:eastAsia="en-GB"/>
    </w:rPr>
  </w:style>
  <w:style w:type="character" w:customStyle="1" w:styleId="TextbublinyChar">
    <w:name w:val="Text bubliny Char"/>
    <w:basedOn w:val="Predvolenpsmoodseku"/>
    <w:link w:val="Textbubliny"/>
    <w:rsid w:val="00EF7953"/>
    <w:rPr>
      <w:rFonts w:ascii="Tahoma" w:eastAsia="Times New Roman" w:hAnsi="Tahoma" w:cs="Tahoma"/>
      <w:sz w:val="16"/>
      <w:szCs w:val="16"/>
      <w:lang w:val="sk-SK" w:eastAsia="en-GB"/>
    </w:rPr>
  </w:style>
  <w:style w:type="paragraph" w:styleId="Popis">
    <w:name w:val="caption"/>
    <w:basedOn w:val="Normlny"/>
    <w:next w:val="Normlny"/>
    <w:qFormat/>
    <w:rsid w:val="00EF7953"/>
    <w:rPr>
      <w:rFonts w:eastAsia="Times New Roman"/>
      <w:b/>
      <w:bCs/>
      <w:sz w:val="20"/>
      <w:szCs w:val="20"/>
      <w:lang w:eastAsia="en-GB"/>
    </w:rPr>
  </w:style>
  <w:style w:type="paragraph" w:styleId="Zoznamobrzkov">
    <w:name w:val="table of figures"/>
    <w:basedOn w:val="Normlny"/>
    <w:next w:val="Normlny"/>
    <w:rsid w:val="00EF7953"/>
    <w:rPr>
      <w:rFonts w:eastAsia="Times New Roman"/>
      <w:lang w:eastAsia="en-GB"/>
    </w:rPr>
  </w:style>
  <w:style w:type="character" w:styleId="slostrany">
    <w:name w:val="page number"/>
    <w:rsid w:val="00EF7953"/>
  </w:style>
  <w:style w:type="character" w:customStyle="1" w:styleId="tw4winMark">
    <w:name w:val="tw4winMark"/>
    <w:rsid w:val="00EF7953"/>
    <w:rPr>
      <w:vanish/>
      <w:color w:val="800080"/>
      <w:vertAlign w:val="subscript"/>
    </w:rPr>
  </w:style>
  <w:style w:type="character" w:styleId="PouitHypertextovPrepojenie">
    <w:name w:val="FollowedHyperlink"/>
    <w:rsid w:val="00EF7953"/>
    <w:rPr>
      <w:color w:val="800080"/>
      <w:u w:val="single"/>
    </w:rPr>
  </w:style>
  <w:style w:type="paragraph" w:customStyle="1" w:styleId="Sous-titreobjet">
    <w:name w:val="Sous-titre objet"/>
    <w:basedOn w:val="Normlny"/>
    <w:rsid w:val="00EF795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F7953"/>
  </w:style>
  <w:style w:type="paragraph" w:styleId="Revzia">
    <w:name w:val="Revision"/>
    <w:hidden/>
    <w:uiPriority w:val="99"/>
    <w:semiHidden/>
    <w:rsid w:val="00EF7953"/>
    <w:rPr>
      <w:rFonts w:ascii="Calibri" w:eastAsia="Calibri" w:hAnsi="Calibri" w:cs="Times New Roman"/>
      <w:sz w:val="24"/>
      <w:lang w:eastAsia="en-GB"/>
    </w:rPr>
  </w:style>
  <w:style w:type="paragraph" w:customStyle="1" w:styleId="FooterCoverPage">
    <w:name w:val="Footer Cover Page"/>
    <w:basedOn w:val="Normlny"/>
    <w:link w:val="FooterCoverPageChar"/>
    <w:rsid w:val="00EF795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F7953"/>
    <w:rPr>
      <w:rFonts w:ascii="Times New Roman" w:hAnsi="Times New Roman" w:cs="Times New Roman"/>
      <w:b/>
      <w:sz w:val="28"/>
      <w:lang w:val="sk-SK"/>
    </w:rPr>
  </w:style>
  <w:style w:type="character" w:customStyle="1" w:styleId="FooterCoverPageChar">
    <w:name w:val="Footer Cover Page Char"/>
    <w:link w:val="FooterCoverPage"/>
    <w:rsid w:val="00EF7953"/>
    <w:rPr>
      <w:rFonts w:ascii="Times New Roman" w:eastAsia="Calibri" w:hAnsi="Times New Roman" w:cs="Times New Roman"/>
      <w:sz w:val="24"/>
      <w:lang w:val="sk-SK" w:eastAsia="en-GB"/>
    </w:rPr>
  </w:style>
  <w:style w:type="paragraph" w:customStyle="1" w:styleId="HeaderCoverPage">
    <w:name w:val="Header Cover Page"/>
    <w:basedOn w:val="Normlny"/>
    <w:link w:val="HeaderCoverPageChar"/>
    <w:rsid w:val="00EF795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F7953"/>
    <w:rPr>
      <w:rFonts w:ascii="Times New Roman" w:eastAsia="Calibri" w:hAnsi="Times New Roman" w:cs="Times New Roman"/>
      <w:sz w:val="24"/>
      <w:lang w:val="sk-SK" w:eastAsia="en-GB"/>
    </w:rPr>
  </w:style>
  <w:style w:type="character" w:customStyle="1" w:styleId="FooterSensitivityChar">
    <w:name w:val="Footer Sensitivity Char"/>
    <w:rsid w:val="00EF7953"/>
    <w:rPr>
      <w:rFonts w:ascii="Times New Roman" w:hAnsi="Times New Roman" w:cs="Times New Roman"/>
      <w:b/>
      <w:sz w:val="32"/>
      <w:lang w:val="sk-SK"/>
    </w:rPr>
  </w:style>
  <w:style w:type="character" w:customStyle="1" w:styleId="HeaderSensitivityChar">
    <w:name w:val="Header Sensitivity Char"/>
    <w:rsid w:val="00EF7953"/>
    <w:rPr>
      <w:rFonts w:ascii="Times New Roman" w:hAnsi="Times New Roman" w:cs="Times New Roman"/>
      <w:b/>
      <w:sz w:val="32"/>
      <w:lang w:val="sk-SK"/>
    </w:rPr>
  </w:style>
  <w:style w:type="character" w:customStyle="1" w:styleId="HeaderSensitivityRightChar">
    <w:name w:val="Header Sensitivity Right Char"/>
    <w:rsid w:val="00EF7953"/>
    <w:rPr>
      <w:rFonts w:ascii="Times New Roman" w:hAnsi="Times New Roman" w:cs="Times New Roman"/>
      <w:sz w:val="28"/>
      <w:lang w:val="sk-SK"/>
    </w:rPr>
  </w:style>
  <w:style w:type="paragraph" w:styleId="Odsekzoznamu">
    <w:name w:val="List Paragraph"/>
    <w:basedOn w:val="Normlny"/>
    <w:uiPriority w:val="1"/>
    <w:qFormat/>
    <w:rsid w:val="004E3F84"/>
    <w:pPr>
      <w:ind w:left="720"/>
      <w:contextualSpacing/>
    </w:pPr>
  </w:style>
  <w:style w:type="paragraph" w:customStyle="1" w:styleId="Pointivx">
    <w:name w:val="Point ivx"/>
    <w:basedOn w:val="Normlny"/>
    <w:rsid w:val="008430B8"/>
    <w:pPr>
      <w:numPr>
        <w:numId w:val="16"/>
      </w:numPr>
      <w:spacing w:line="360" w:lineRule="auto"/>
      <w:jc w:val="left"/>
    </w:pPr>
  </w:style>
  <w:style w:type="paragraph" w:customStyle="1" w:styleId="Pointivx1">
    <w:name w:val="Point ivx (1)"/>
    <w:basedOn w:val="Normlny"/>
    <w:rsid w:val="008430B8"/>
    <w:pPr>
      <w:numPr>
        <w:ilvl w:val="1"/>
        <w:numId w:val="16"/>
      </w:numPr>
      <w:spacing w:line="360" w:lineRule="auto"/>
      <w:jc w:val="left"/>
    </w:pPr>
  </w:style>
  <w:style w:type="paragraph" w:customStyle="1" w:styleId="Pointivx2">
    <w:name w:val="Point ivx (2)"/>
    <w:basedOn w:val="Normlny"/>
    <w:rsid w:val="008430B8"/>
    <w:pPr>
      <w:numPr>
        <w:ilvl w:val="2"/>
        <w:numId w:val="16"/>
      </w:numPr>
      <w:spacing w:line="360" w:lineRule="auto"/>
      <w:jc w:val="left"/>
    </w:pPr>
  </w:style>
  <w:style w:type="paragraph" w:customStyle="1" w:styleId="Pointivx3">
    <w:name w:val="Point ivx (3)"/>
    <w:basedOn w:val="Normlny"/>
    <w:rsid w:val="008430B8"/>
    <w:pPr>
      <w:numPr>
        <w:ilvl w:val="3"/>
        <w:numId w:val="16"/>
      </w:numPr>
      <w:spacing w:line="360" w:lineRule="auto"/>
      <w:jc w:val="left"/>
    </w:pPr>
  </w:style>
  <w:style w:type="paragraph" w:customStyle="1" w:styleId="Pointivx4">
    <w:name w:val="Point ivx (4)"/>
    <w:basedOn w:val="Normlny"/>
    <w:rsid w:val="008430B8"/>
    <w:pPr>
      <w:numPr>
        <w:ilvl w:val="4"/>
        <w:numId w:val="16"/>
      </w:numPr>
      <w:spacing w:line="360" w:lineRule="auto"/>
      <w:jc w:val="left"/>
    </w:pPr>
  </w:style>
  <w:style w:type="paragraph" w:customStyle="1" w:styleId="Dash3">
    <w:name w:val="Dash 3"/>
    <w:basedOn w:val="Normlny"/>
    <w:rsid w:val="001D4265"/>
    <w:pPr>
      <w:numPr>
        <w:numId w:val="17"/>
      </w:numPr>
      <w:spacing w:line="360" w:lineRule="auto"/>
      <w:jc w:val="left"/>
    </w:pPr>
  </w:style>
  <w:style w:type="character" w:customStyle="1" w:styleId="normaltextrun">
    <w:name w:val="normaltextrun"/>
    <w:basedOn w:val="Predvolenpsmoodseku"/>
    <w:rsid w:val="00BC0DE1"/>
  </w:style>
  <w:style w:type="character" w:customStyle="1" w:styleId="eop">
    <w:name w:val="eop"/>
    <w:basedOn w:val="Predvolenpsmoodseku"/>
    <w:rsid w:val="00BC0DE1"/>
  </w:style>
  <w:style w:type="character" w:customStyle="1" w:styleId="Nadpis8Char">
    <w:name w:val="Nadpis 8 Char"/>
    <w:basedOn w:val="Predvolenpsmoodseku"/>
    <w:link w:val="Nadpis8"/>
    <w:uiPriority w:val="1"/>
    <w:rsid w:val="007C3E99"/>
    <w:rPr>
      <w:rFonts w:ascii="Arial" w:eastAsia="Arial" w:hAnsi="Arial" w:cs="Arial"/>
      <w:b/>
      <w:bCs/>
      <w:sz w:val="20"/>
      <w:szCs w:val="20"/>
    </w:rPr>
  </w:style>
  <w:style w:type="paragraph" w:styleId="Zkladntext">
    <w:name w:val="Body Text"/>
    <w:basedOn w:val="Normlny"/>
    <w:link w:val="ZkladntextChar"/>
    <w:uiPriority w:val="1"/>
    <w:qFormat/>
    <w:rsid w:val="007C3E99"/>
    <w:pPr>
      <w:widowControl w:val="0"/>
      <w:autoSpaceDE w:val="0"/>
      <w:autoSpaceDN w:val="0"/>
      <w:spacing w:before="0" w:after="0"/>
      <w:jc w:val="left"/>
    </w:pPr>
    <w:rPr>
      <w:rFonts w:ascii="Arial" w:eastAsia="Arial" w:hAnsi="Arial" w:cs="Arial"/>
      <w:sz w:val="20"/>
      <w:szCs w:val="20"/>
    </w:rPr>
  </w:style>
  <w:style w:type="character" w:customStyle="1" w:styleId="ZkladntextChar">
    <w:name w:val="Základný text Char"/>
    <w:basedOn w:val="Predvolenpsmoodseku"/>
    <w:link w:val="Zkladntext"/>
    <w:uiPriority w:val="1"/>
    <w:rsid w:val="007C3E99"/>
    <w:rPr>
      <w:rFonts w:ascii="Arial" w:eastAsia="Arial" w:hAnsi="Arial" w:cs="Arial"/>
      <w:sz w:val="20"/>
      <w:szCs w:val="20"/>
    </w:rPr>
  </w:style>
  <w:style w:type="paragraph" w:customStyle="1" w:styleId="TableParagraph">
    <w:name w:val="Table Paragraph"/>
    <w:basedOn w:val="Normlny"/>
    <w:uiPriority w:val="1"/>
    <w:qFormat/>
    <w:rsid w:val="007C3E99"/>
    <w:pPr>
      <w:widowControl w:val="0"/>
      <w:autoSpaceDE w:val="0"/>
      <w:autoSpaceDN w:val="0"/>
      <w:spacing w:before="0" w:after="0"/>
      <w:jc w:val="left"/>
    </w:pPr>
    <w:rPr>
      <w:rFonts w:ascii="Liberation Sans Narrow" w:eastAsia="Liberation Sans Narrow" w:hAnsi="Liberation Sans Narrow" w:cs="Liberation Sans Narrow"/>
      <w:sz w:val="22"/>
    </w:rPr>
  </w:style>
  <w:style w:type="character" w:customStyle="1" w:styleId="Nevyrieenzmienka1">
    <w:name w:val="Nevyriešená zmienka1"/>
    <w:basedOn w:val="Predvolenpsmoodseku"/>
    <w:uiPriority w:val="99"/>
    <w:semiHidden/>
    <w:unhideWhenUsed/>
    <w:rsid w:val="007C3E99"/>
    <w:rPr>
      <w:color w:val="605E5C"/>
      <w:shd w:val="clear" w:color="auto" w:fill="E1DFDD"/>
    </w:rPr>
  </w:style>
  <w:style w:type="paragraph" w:customStyle="1" w:styleId="Fin">
    <w:name w:val="Fin"/>
    <w:basedOn w:val="Normlny"/>
    <w:rsid w:val="0029612A"/>
    <w:pPr>
      <w:pBdr>
        <w:top w:val="nil"/>
        <w:left w:val="nil"/>
        <w:bottom w:val="nil"/>
        <w:right w:val="nil"/>
        <w:between w:val="nil"/>
        <w:bar w:val="nil"/>
      </w:pBdr>
      <w:spacing w:before="0" w:after="240"/>
    </w:pPr>
    <w:rPr>
      <w:rFonts w:eastAsia="Arial Unicode MS"/>
    </w:rPr>
  </w:style>
  <w:style w:type="character" w:customStyle="1" w:styleId="Zmienka1">
    <w:name w:val="Zmienka1"/>
    <w:basedOn w:val="Predvolenpsmoodseku"/>
    <w:uiPriority w:val="99"/>
    <w:unhideWhenUsed/>
    <w:rsid w:val="00C03D9F"/>
    <w:rPr>
      <w:color w:val="2B579A"/>
      <w:shd w:val="clear" w:color="auto" w:fill="E1DFDD"/>
    </w:rPr>
  </w:style>
  <w:style w:type="character" w:customStyle="1" w:styleId="HlavikaChar">
    <w:name w:val="Hlavička Char"/>
    <w:basedOn w:val="Predvolenpsmoodseku"/>
    <w:link w:val="Hlavika"/>
    <w:uiPriority w:val="99"/>
    <w:rsid w:val="003F317C"/>
    <w:rPr>
      <w:rFonts w:ascii="Times New Roman" w:hAnsi="Times New Roman" w:cs="Times New Roman"/>
      <w:sz w:val="24"/>
      <w:lang w:val="sk-SK"/>
    </w:rPr>
  </w:style>
  <w:style w:type="character" w:customStyle="1" w:styleId="PtaChar">
    <w:name w:val="Päta Char"/>
    <w:basedOn w:val="Predvolenpsmoodseku"/>
    <w:link w:val="Pta"/>
    <w:uiPriority w:val="99"/>
    <w:rsid w:val="003F317C"/>
    <w:rPr>
      <w:rFonts w:ascii="Times New Roman" w:hAnsi="Times New Roman" w:cs="Times New Roman"/>
      <w:sz w:val="24"/>
      <w:lang w:val="sk-SK"/>
    </w:rPr>
  </w:style>
  <w:style w:type="paragraph" w:styleId="Textpoznmkypodiarou">
    <w:name w:val="footnote text"/>
    <w:basedOn w:val="Normlny"/>
    <w:link w:val="TextpoznmkypodiarouChar"/>
    <w:uiPriority w:val="99"/>
    <w:semiHidden/>
    <w:unhideWhenUsed/>
    <w:pPr>
      <w:spacing w:before="0" w:after="0"/>
      <w:ind w:left="720" w:hanging="720"/>
    </w:pPr>
    <w:rPr>
      <w:sz w:val="20"/>
      <w:szCs w:val="20"/>
    </w:rPr>
  </w:style>
  <w:style w:type="character" w:customStyle="1" w:styleId="TextpoznmkypodiarouChar">
    <w:name w:val="Text poznámky pod čiarou Char"/>
    <w:basedOn w:val="Predvolenpsmoodseku"/>
    <w:link w:val="Textpoznmkypodi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Predvolenpsmoodseku"/>
    <w:link w:val="Nadpis1"/>
    <w:uiPriority w:val="9"/>
    <w:rPr>
      <w:rFonts w:ascii="Times New Roman" w:eastAsiaTheme="majorEastAsia" w:hAnsi="Times New Roman" w:cs="Times New Roman"/>
      <w:b/>
      <w:bCs/>
      <w:smallCaps/>
      <w:sz w:val="24"/>
      <w:szCs w:val="28"/>
      <w:lang w:val="sk-SK"/>
    </w:rPr>
  </w:style>
  <w:style w:type="character" w:customStyle="1" w:styleId="Nadpis2Char">
    <w:name w:val="Nadpis 2 Char"/>
    <w:basedOn w:val="Predvolenpsmoodseku"/>
    <w:link w:val="Nadpis2"/>
    <w:uiPriority w:val="9"/>
    <w:semiHidden/>
    <w:rPr>
      <w:rFonts w:ascii="Times New Roman" w:eastAsiaTheme="majorEastAsia" w:hAnsi="Times New Roman" w:cs="Times New Roman"/>
      <w:b/>
      <w:bCs/>
      <w:sz w:val="24"/>
      <w:szCs w:val="26"/>
      <w:lang w:val="sk-SK"/>
    </w:rPr>
  </w:style>
  <w:style w:type="character" w:customStyle="1" w:styleId="Nadpis3Char">
    <w:name w:val="Nadpis 3 Char"/>
    <w:basedOn w:val="Predvolenpsmoodseku"/>
    <w:link w:val="Nadpis3"/>
    <w:uiPriority w:val="9"/>
    <w:semiHidden/>
    <w:rPr>
      <w:rFonts w:ascii="Times New Roman" w:eastAsiaTheme="majorEastAsia" w:hAnsi="Times New Roman" w:cs="Times New Roman"/>
      <w:bCs/>
      <w:i/>
      <w:sz w:val="24"/>
      <w:lang w:val="sk-SK"/>
    </w:rPr>
  </w:style>
  <w:style w:type="character" w:customStyle="1" w:styleId="Nadpis4Char">
    <w:name w:val="Nadpis 4 Char"/>
    <w:basedOn w:val="Predvolenpsmoodseku"/>
    <w:link w:val="Nadpis4"/>
    <w:uiPriority w:val="9"/>
    <w:semiHidden/>
    <w:rPr>
      <w:rFonts w:ascii="Times New Roman" w:eastAsiaTheme="majorEastAsia" w:hAnsi="Times New Roman" w:cs="Times New Roman"/>
      <w:bCs/>
      <w:iCs/>
      <w:sz w:val="24"/>
      <w:lang w:val="sk-SK"/>
    </w:rPr>
  </w:style>
  <w:style w:type="character" w:customStyle="1" w:styleId="Nadpis5Char">
    <w:name w:val="Nadpis 5 Char"/>
    <w:basedOn w:val="Predvolenpsmoodseku"/>
    <w:link w:val="Nadpis5"/>
    <w:uiPriority w:val="9"/>
    <w:semiHidden/>
    <w:rPr>
      <w:rFonts w:ascii="Times New Roman" w:eastAsiaTheme="majorEastAsia" w:hAnsi="Times New Roman" w:cs="Times New Roman"/>
      <w:sz w:val="24"/>
      <w:lang w:val="sk-SK"/>
    </w:rPr>
  </w:style>
  <w:style w:type="character" w:customStyle="1" w:styleId="Nadpis6Char">
    <w:name w:val="Nadpis 6 Char"/>
    <w:basedOn w:val="Predvolenpsmoodseku"/>
    <w:link w:val="Nadpis6"/>
    <w:uiPriority w:val="9"/>
    <w:semiHidden/>
    <w:rPr>
      <w:rFonts w:ascii="Times New Roman" w:eastAsiaTheme="majorEastAsia" w:hAnsi="Times New Roman" w:cs="Times New Roman"/>
      <w:iCs/>
      <w:sz w:val="24"/>
      <w:lang w:val="sk-SK"/>
    </w:rPr>
  </w:style>
  <w:style w:type="character" w:customStyle="1" w:styleId="Nadpis7Char">
    <w:name w:val="Nadpis 7 Char"/>
    <w:basedOn w:val="Predvolenpsmoodseku"/>
    <w:link w:val="Nadpis7"/>
    <w:uiPriority w:val="9"/>
    <w:semiHidden/>
    <w:rPr>
      <w:rFonts w:ascii="Times New Roman" w:eastAsiaTheme="majorEastAsia" w:hAnsi="Times New Roman" w:cs="Times New Roman"/>
      <w:iCs/>
      <w:sz w:val="24"/>
      <w:lang w:val="sk-SK"/>
    </w:rPr>
  </w:style>
  <w:style w:type="paragraph" w:styleId="Hlavikaobsahu">
    <w:name w:val="TOC Heading"/>
    <w:basedOn w:val="Normlny"/>
    <w:next w:val="Normlny"/>
    <w:uiPriority w:val="39"/>
    <w:semiHidden/>
    <w:unhideWhenUsed/>
    <w:qFormat/>
    <w:pPr>
      <w:spacing w:after="240"/>
      <w:jc w:val="center"/>
    </w:pPr>
    <w:rPr>
      <w:b/>
      <w:sz w:val="28"/>
    </w:rPr>
  </w:style>
  <w:style w:type="paragraph" w:styleId="Obsah1">
    <w:name w:val="toc 1"/>
    <w:basedOn w:val="Normlny"/>
    <w:next w:val="Normlny"/>
    <w:uiPriority w:val="39"/>
    <w:semiHidden/>
    <w:unhideWhenUsed/>
    <w:pPr>
      <w:tabs>
        <w:tab w:val="right" w:leader="dot" w:pos="9071"/>
      </w:tabs>
      <w:spacing w:before="60"/>
      <w:ind w:left="850" w:hanging="850"/>
      <w:jc w:val="left"/>
    </w:pPr>
  </w:style>
  <w:style w:type="paragraph" w:styleId="Obsah2">
    <w:name w:val="toc 2"/>
    <w:basedOn w:val="Normlny"/>
    <w:next w:val="Normlny"/>
    <w:uiPriority w:val="39"/>
    <w:semiHidden/>
    <w:unhideWhenUsed/>
    <w:pPr>
      <w:tabs>
        <w:tab w:val="right" w:leader="dot" w:pos="9071"/>
      </w:tabs>
      <w:spacing w:before="60"/>
      <w:ind w:left="850" w:hanging="850"/>
      <w:jc w:val="left"/>
    </w:pPr>
  </w:style>
  <w:style w:type="paragraph" w:styleId="Obsah3">
    <w:name w:val="toc 3"/>
    <w:basedOn w:val="Normlny"/>
    <w:next w:val="Normlny"/>
    <w:uiPriority w:val="39"/>
    <w:semiHidden/>
    <w:unhideWhenUsed/>
    <w:pPr>
      <w:tabs>
        <w:tab w:val="right" w:leader="dot" w:pos="9071"/>
      </w:tabs>
      <w:spacing w:before="60"/>
      <w:ind w:left="850" w:hanging="850"/>
      <w:jc w:val="left"/>
    </w:pPr>
  </w:style>
  <w:style w:type="paragraph" w:styleId="Obsah4">
    <w:name w:val="toc 4"/>
    <w:basedOn w:val="Normlny"/>
    <w:next w:val="Normlny"/>
    <w:uiPriority w:val="39"/>
    <w:semiHidden/>
    <w:unhideWhenUsed/>
    <w:pPr>
      <w:tabs>
        <w:tab w:val="right" w:leader="dot" w:pos="9071"/>
      </w:tabs>
      <w:spacing w:before="60"/>
      <w:ind w:left="850" w:hanging="850"/>
      <w:jc w:val="left"/>
    </w:pPr>
  </w:style>
  <w:style w:type="paragraph" w:styleId="Obsah5">
    <w:name w:val="toc 5"/>
    <w:basedOn w:val="Normlny"/>
    <w:next w:val="Normlny"/>
    <w:uiPriority w:val="39"/>
    <w:semiHidden/>
    <w:unhideWhenUsed/>
    <w:pPr>
      <w:tabs>
        <w:tab w:val="right" w:leader="dot" w:pos="9071"/>
      </w:tabs>
      <w:spacing w:before="300"/>
      <w:jc w:val="left"/>
    </w:pPr>
  </w:style>
  <w:style w:type="paragraph" w:styleId="Obsah6">
    <w:name w:val="toc 6"/>
    <w:basedOn w:val="Normlny"/>
    <w:next w:val="Normlny"/>
    <w:uiPriority w:val="39"/>
    <w:semiHidden/>
    <w:unhideWhenUsed/>
    <w:pPr>
      <w:tabs>
        <w:tab w:val="right" w:leader="dot" w:pos="9071"/>
      </w:tabs>
      <w:spacing w:before="240"/>
      <w:jc w:val="left"/>
    </w:pPr>
  </w:style>
  <w:style w:type="paragraph" w:styleId="Obsah7">
    <w:name w:val="toc 7"/>
    <w:basedOn w:val="Normlny"/>
    <w:next w:val="Normlny"/>
    <w:uiPriority w:val="39"/>
    <w:semiHidden/>
    <w:unhideWhenUsed/>
    <w:pPr>
      <w:tabs>
        <w:tab w:val="right" w:leader="dot" w:pos="9071"/>
      </w:tabs>
      <w:spacing w:before="180"/>
      <w:jc w:val="left"/>
    </w:pPr>
  </w:style>
  <w:style w:type="paragraph" w:styleId="Obsah8">
    <w:name w:val="toc 8"/>
    <w:basedOn w:val="Normlny"/>
    <w:next w:val="Normlny"/>
    <w:uiPriority w:val="39"/>
    <w:semiHidden/>
    <w:unhideWhenUsed/>
    <w:pPr>
      <w:tabs>
        <w:tab w:val="right" w:leader="dot" w:pos="9071"/>
      </w:tabs>
      <w:jc w:val="left"/>
    </w:pPr>
  </w:style>
  <w:style w:type="paragraph" w:styleId="Obsah9">
    <w:name w:val="toc 9"/>
    <w:basedOn w:val="Normlny"/>
    <w:next w:val="Normlny"/>
    <w:uiPriority w:val="39"/>
    <w:semiHidden/>
    <w:unhideWhenUsed/>
    <w:pPr>
      <w:tabs>
        <w:tab w:val="right" w:leader="dot" w:pos="9071"/>
      </w:tabs>
      <w:ind w:left="1417" w:hanging="1417"/>
      <w:jc w:val="left"/>
    </w:pPr>
  </w:style>
  <w:style w:type="character" w:styleId="Odkaznapoznmkupodiarou">
    <w:name w:val="footnote reference"/>
    <w:basedOn w:val="Predvolenpsmoodseku"/>
    <w:uiPriority w:val="99"/>
    <w:semiHidden/>
    <w:unhideWhenUsed/>
    <w:rPr>
      <w:shd w:val="clear" w:color="auto" w:fill="auto"/>
      <w:vertAlign w:val="superscript"/>
    </w:rPr>
  </w:style>
  <w:style w:type="paragraph" w:customStyle="1" w:styleId="HeaderSensitivity">
    <w:name w:val="Header Sensitivity"/>
    <w:basedOn w:val="Normlny"/>
    <w:rsid w:val="003F317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lny"/>
    <w:rsid w:val="003F317C"/>
    <w:pPr>
      <w:spacing w:before="0"/>
      <w:jc w:val="right"/>
    </w:pPr>
    <w:rPr>
      <w:sz w:val="28"/>
    </w:rPr>
  </w:style>
  <w:style w:type="paragraph" w:customStyle="1" w:styleId="FooterSensitivity">
    <w:name w:val="Footer Sensitivity"/>
    <w:basedOn w:val="Normlny"/>
    <w:rsid w:val="003F317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ny"/>
    <w:pPr>
      <w:ind w:left="850"/>
    </w:pPr>
  </w:style>
  <w:style w:type="paragraph" w:customStyle="1" w:styleId="Text2">
    <w:name w:val="Text 2"/>
    <w:basedOn w:val="Normlny"/>
    <w:pPr>
      <w:ind w:left="1417"/>
    </w:pPr>
  </w:style>
  <w:style w:type="paragraph" w:customStyle="1" w:styleId="Text3">
    <w:name w:val="Text 3"/>
    <w:basedOn w:val="Normlny"/>
    <w:pPr>
      <w:ind w:left="1984"/>
    </w:pPr>
  </w:style>
  <w:style w:type="paragraph" w:customStyle="1" w:styleId="Text4">
    <w:name w:val="Text 4"/>
    <w:basedOn w:val="Normlny"/>
    <w:pPr>
      <w:ind w:left="2551"/>
    </w:pPr>
  </w:style>
  <w:style w:type="paragraph" w:customStyle="1" w:styleId="Text5">
    <w:name w:val="Text 5"/>
    <w:basedOn w:val="Normlny"/>
    <w:pPr>
      <w:ind w:left="3118"/>
    </w:pPr>
  </w:style>
  <w:style w:type="paragraph" w:customStyle="1" w:styleId="Text6">
    <w:name w:val="Text 6"/>
    <w:basedOn w:val="Normlny"/>
    <w:pPr>
      <w:ind w:left="3685"/>
    </w:pPr>
  </w:style>
  <w:style w:type="paragraph" w:customStyle="1" w:styleId="NormalCentered">
    <w:name w:val="Normal Centered"/>
    <w:basedOn w:val="Normlny"/>
    <w:pPr>
      <w:jc w:val="center"/>
    </w:pPr>
  </w:style>
  <w:style w:type="paragraph" w:customStyle="1" w:styleId="NormalLeft">
    <w:name w:val="Normal Left"/>
    <w:basedOn w:val="Normlny"/>
    <w:pPr>
      <w:jc w:val="left"/>
    </w:pPr>
  </w:style>
  <w:style w:type="paragraph" w:customStyle="1" w:styleId="NormalRight">
    <w:name w:val="Normal Right"/>
    <w:basedOn w:val="Normlny"/>
    <w:pPr>
      <w:jc w:val="right"/>
    </w:pPr>
  </w:style>
  <w:style w:type="paragraph" w:customStyle="1" w:styleId="QuotedText">
    <w:name w:val="Quoted Text"/>
    <w:basedOn w:val="Normlny"/>
    <w:pPr>
      <w:ind w:left="1417"/>
    </w:pPr>
  </w:style>
  <w:style w:type="paragraph" w:customStyle="1" w:styleId="Point0">
    <w:name w:val="Point 0"/>
    <w:basedOn w:val="Normlny"/>
    <w:pPr>
      <w:ind w:left="850" w:hanging="850"/>
    </w:pPr>
  </w:style>
  <w:style w:type="paragraph" w:customStyle="1" w:styleId="Point1">
    <w:name w:val="Point 1"/>
    <w:basedOn w:val="Normlny"/>
    <w:pPr>
      <w:ind w:left="1417" w:hanging="567"/>
    </w:pPr>
  </w:style>
  <w:style w:type="paragraph" w:customStyle="1" w:styleId="Point2">
    <w:name w:val="Point 2"/>
    <w:basedOn w:val="Normlny"/>
    <w:pPr>
      <w:ind w:left="1984" w:hanging="567"/>
    </w:pPr>
  </w:style>
  <w:style w:type="paragraph" w:customStyle="1" w:styleId="Point3">
    <w:name w:val="Point 3"/>
    <w:basedOn w:val="Normlny"/>
    <w:pPr>
      <w:ind w:left="2551" w:hanging="567"/>
    </w:pPr>
  </w:style>
  <w:style w:type="paragraph" w:customStyle="1" w:styleId="Point4">
    <w:name w:val="Point 4"/>
    <w:basedOn w:val="Normlny"/>
    <w:pPr>
      <w:ind w:left="3118" w:hanging="567"/>
    </w:pPr>
  </w:style>
  <w:style w:type="paragraph" w:customStyle="1" w:styleId="Point5">
    <w:name w:val="Point 5"/>
    <w:basedOn w:val="Normlny"/>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lny"/>
    <w:pPr>
      <w:tabs>
        <w:tab w:val="left" w:pos="850"/>
      </w:tabs>
      <w:ind w:left="1417" w:hanging="1417"/>
    </w:pPr>
  </w:style>
  <w:style w:type="paragraph" w:customStyle="1" w:styleId="PointDouble1">
    <w:name w:val="PointDouble 1"/>
    <w:basedOn w:val="Normlny"/>
    <w:pPr>
      <w:tabs>
        <w:tab w:val="left" w:pos="1417"/>
      </w:tabs>
      <w:ind w:left="1984" w:hanging="1134"/>
    </w:pPr>
  </w:style>
  <w:style w:type="paragraph" w:customStyle="1" w:styleId="PointDouble2">
    <w:name w:val="PointDouble 2"/>
    <w:basedOn w:val="Normlny"/>
    <w:pPr>
      <w:tabs>
        <w:tab w:val="left" w:pos="1984"/>
      </w:tabs>
      <w:ind w:left="2551" w:hanging="1134"/>
    </w:pPr>
  </w:style>
  <w:style w:type="paragraph" w:customStyle="1" w:styleId="PointDouble3">
    <w:name w:val="PointDouble 3"/>
    <w:basedOn w:val="Normlny"/>
    <w:pPr>
      <w:tabs>
        <w:tab w:val="left" w:pos="2551"/>
      </w:tabs>
      <w:ind w:left="3118" w:hanging="1134"/>
    </w:pPr>
  </w:style>
  <w:style w:type="paragraph" w:customStyle="1" w:styleId="PointDouble4">
    <w:name w:val="PointDouble 4"/>
    <w:basedOn w:val="Normlny"/>
    <w:pPr>
      <w:tabs>
        <w:tab w:val="left" w:pos="3118"/>
      </w:tabs>
      <w:ind w:left="3685" w:hanging="1134"/>
    </w:pPr>
  </w:style>
  <w:style w:type="paragraph" w:customStyle="1" w:styleId="PointTriple0">
    <w:name w:val="PointTriple 0"/>
    <w:basedOn w:val="Normlny"/>
    <w:pPr>
      <w:tabs>
        <w:tab w:val="left" w:pos="850"/>
        <w:tab w:val="left" w:pos="1417"/>
      </w:tabs>
      <w:ind w:left="1984" w:hanging="1984"/>
    </w:pPr>
  </w:style>
  <w:style w:type="paragraph" w:customStyle="1" w:styleId="PointTriple1">
    <w:name w:val="PointTriple 1"/>
    <w:basedOn w:val="Normlny"/>
    <w:pPr>
      <w:tabs>
        <w:tab w:val="left" w:pos="1417"/>
        <w:tab w:val="left" w:pos="1984"/>
      </w:tabs>
      <w:ind w:left="2551" w:hanging="1701"/>
    </w:pPr>
  </w:style>
  <w:style w:type="paragraph" w:customStyle="1" w:styleId="PointTriple2">
    <w:name w:val="PointTriple 2"/>
    <w:basedOn w:val="Normlny"/>
    <w:pPr>
      <w:tabs>
        <w:tab w:val="left" w:pos="1984"/>
        <w:tab w:val="left" w:pos="2551"/>
      </w:tabs>
      <w:ind w:left="3118" w:hanging="1701"/>
    </w:pPr>
  </w:style>
  <w:style w:type="paragraph" w:customStyle="1" w:styleId="PointTriple3">
    <w:name w:val="PointTriple 3"/>
    <w:basedOn w:val="Normlny"/>
    <w:pPr>
      <w:tabs>
        <w:tab w:val="left" w:pos="2551"/>
        <w:tab w:val="left" w:pos="3118"/>
      </w:tabs>
      <w:ind w:left="3685" w:hanging="1701"/>
    </w:pPr>
  </w:style>
  <w:style w:type="paragraph" w:customStyle="1" w:styleId="PointTriple4">
    <w:name w:val="PointTriple 4"/>
    <w:basedOn w:val="Normlny"/>
    <w:pPr>
      <w:tabs>
        <w:tab w:val="left" w:pos="3118"/>
        <w:tab w:val="left" w:pos="3685"/>
      </w:tabs>
      <w:ind w:left="4252" w:hanging="1701"/>
    </w:pPr>
  </w:style>
  <w:style w:type="paragraph" w:customStyle="1" w:styleId="NumPar1">
    <w:name w:val="NumPar 1"/>
    <w:basedOn w:val="Normlny"/>
    <w:next w:val="Text1"/>
    <w:pPr>
      <w:numPr>
        <w:numId w:val="31"/>
      </w:numPr>
    </w:pPr>
  </w:style>
  <w:style w:type="paragraph" w:customStyle="1" w:styleId="NumPar2">
    <w:name w:val="NumPar 2"/>
    <w:basedOn w:val="Normlny"/>
    <w:next w:val="Text1"/>
    <w:pPr>
      <w:numPr>
        <w:ilvl w:val="1"/>
        <w:numId w:val="31"/>
      </w:numPr>
    </w:pPr>
  </w:style>
  <w:style w:type="paragraph" w:customStyle="1" w:styleId="NumPar3">
    <w:name w:val="NumPar 3"/>
    <w:basedOn w:val="Normlny"/>
    <w:next w:val="Text1"/>
    <w:pPr>
      <w:numPr>
        <w:ilvl w:val="2"/>
        <w:numId w:val="31"/>
      </w:numPr>
    </w:pPr>
  </w:style>
  <w:style w:type="paragraph" w:customStyle="1" w:styleId="NumPar4">
    <w:name w:val="NumPar 4"/>
    <w:basedOn w:val="Normlny"/>
    <w:next w:val="Text1"/>
    <w:pPr>
      <w:numPr>
        <w:ilvl w:val="3"/>
        <w:numId w:val="31"/>
      </w:numPr>
    </w:pPr>
  </w:style>
  <w:style w:type="paragraph" w:customStyle="1" w:styleId="NumPar5">
    <w:name w:val="NumPar 5"/>
    <w:basedOn w:val="Normlny"/>
    <w:next w:val="Text2"/>
    <w:pPr>
      <w:numPr>
        <w:ilvl w:val="4"/>
        <w:numId w:val="31"/>
      </w:numPr>
    </w:pPr>
  </w:style>
  <w:style w:type="paragraph" w:customStyle="1" w:styleId="NumPar6">
    <w:name w:val="NumPar 6"/>
    <w:basedOn w:val="Normlny"/>
    <w:next w:val="Text2"/>
    <w:pPr>
      <w:numPr>
        <w:ilvl w:val="5"/>
        <w:numId w:val="31"/>
      </w:numPr>
    </w:pPr>
  </w:style>
  <w:style w:type="paragraph" w:customStyle="1" w:styleId="NumPar7">
    <w:name w:val="NumPar 7"/>
    <w:basedOn w:val="Normlny"/>
    <w:next w:val="Text2"/>
    <w:pPr>
      <w:numPr>
        <w:ilvl w:val="6"/>
        <w:numId w:val="31"/>
      </w:numPr>
    </w:pPr>
  </w:style>
  <w:style w:type="paragraph" w:customStyle="1" w:styleId="ManualNumPar1">
    <w:name w:val="Manual NumPar 1"/>
    <w:basedOn w:val="Normlny"/>
    <w:next w:val="Text1"/>
    <w:pPr>
      <w:ind w:left="850" w:hanging="850"/>
    </w:pPr>
  </w:style>
  <w:style w:type="paragraph" w:customStyle="1" w:styleId="ManualNumPar2">
    <w:name w:val="Manual NumPar 2"/>
    <w:basedOn w:val="Normlny"/>
    <w:next w:val="Text1"/>
    <w:pPr>
      <w:ind w:left="850" w:hanging="850"/>
    </w:pPr>
  </w:style>
  <w:style w:type="paragraph" w:customStyle="1" w:styleId="ManualNumPar3">
    <w:name w:val="Manual NumPar 3"/>
    <w:basedOn w:val="Normlny"/>
    <w:next w:val="Text1"/>
    <w:pPr>
      <w:ind w:left="850" w:hanging="850"/>
    </w:pPr>
  </w:style>
  <w:style w:type="paragraph" w:customStyle="1" w:styleId="ManualNumPar4">
    <w:name w:val="Manual NumPar 4"/>
    <w:basedOn w:val="Normlny"/>
    <w:next w:val="Text1"/>
    <w:pPr>
      <w:ind w:left="850" w:hanging="850"/>
    </w:pPr>
  </w:style>
  <w:style w:type="paragraph" w:customStyle="1" w:styleId="ManualNumPar5">
    <w:name w:val="Manual NumPar 5"/>
    <w:basedOn w:val="Normlny"/>
    <w:next w:val="Text2"/>
    <w:pPr>
      <w:ind w:left="1417" w:hanging="1417"/>
    </w:pPr>
  </w:style>
  <w:style w:type="paragraph" w:customStyle="1" w:styleId="ManualNumPar6">
    <w:name w:val="Manual NumPar 6"/>
    <w:basedOn w:val="Normlny"/>
    <w:next w:val="Text2"/>
    <w:pPr>
      <w:ind w:left="1417" w:hanging="1417"/>
    </w:pPr>
  </w:style>
  <w:style w:type="paragraph" w:customStyle="1" w:styleId="ManualNumPar7">
    <w:name w:val="Manual NumPar 7"/>
    <w:basedOn w:val="Normlny"/>
    <w:next w:val="Text2"/>
    <w:pPr>
      <w:ind w:left="1417" w:hanging="1417"/>
    </w:pPr>
  </w:style>
  <w:style w:type="paragraph" w:customStyle="1" w:styleId="QuotedNumPar">
    <w:name w:val="Quoted NumPar"/>
    <w:basedOn w:val="Normlny"/>
    <w:pPr>
      <w:ind w:left="1417" w:hanging="567"/>
    </w:pPr>
  </w:style>
  <w:style w:type="paragraph" w:customStyle="1" w:styleId="ManualHeading1">
    <w:name w:val="Manual Heading 1"/>
    <w:basedOn w:val="Normlny"/>
    <w:next w:val="Text1"/>
    <w:pPr>
      <w:keepNext/>
      <w:tabs>
        <w:tab w:val="left" w:pos="850"/>
      </w:tabs>
      <w:spacing w:before="360"/>
      <w:ind w:left="850" w:hanging="850"/>
      <w:outlineLvl w:val="0"/>
    </w:pPr>
    <w:rPr>
      <w:b/>
      <w:smallCaps/>
    </w:rPr>
  </w:style>
  <w:style w:type="paragraph" w:customStyle="1" w:styleId="ManualHeading2">
    <w:name w:val="Manual Heading 2"/>
    <w:basedOn w:val="Normlny"/>
    <w:next w:val="Text1"/>
    <w:pPr>
      <w:keepNext/>
      <w:tabs>
        <w:tab w:val="left" w:pos="850"/>
      </w:tabs>
      <w:ind w:left="850" w:hanging="850"/>
      <w:outlineLvl w:val="1"/>
    </w:pPr>
    <w:rPr>
      <w:b/>
    </w:rPr>
  </w:style>
  <w:style w:type="paragraph" w:customStyle="1" w:styleId="ManualHeading3">
    <w:name w:val="Manual Heading 3"/>
    <w:basedOn w:val="Normlny"/>
    <w:next w:val="Text1"/>
    <w:pPr>
      <w:keepNext/>
      <w:tabs>
        <w:tab w:val="left" w:pos="850"/>
      </w:tabs>
      <w:ind w:left="850" w:hanging="850"/>
      <w:outlineLvl w:val="2"/>
    </w:pPr>
    <w:rPr>
      <w:i/>
    </w:rPr>
  </w:style>
  <w:style w:type="paragraph" w:customStyle="1" w:styleId="ManualHeading4">
    <w:name w:val="Manual Heading 4"/>
    <w:basedOn w:val="Normlny"/>
    <w:next w:val="Text1"/>
    <w:pPr>
      <w:keepNext/>
      <w:tabs>
        <w:tab w:val="left" w:pos="850"/>
      </w:tabs>
      <w:ind w:left="850" w:hanging="850"/>
      <w:outlineLvl w:val="3"/>
    </w:pPr>
  </w:style>
  <w:style w:type="paragraph" w:customStyle="1" w:styleId="ManualHeading5">
    <w:name w:val="Manual Heading 5"/>
    <w:basedOn w:val="Normlny"/>
    <w:next w:val="Text2"/>
    <w:pPr>
      <w:keepNext/>
      <w:tabs>
        <w:tab w:val="left" w:pos="1417"/>
      </w:tabs>
      <w:ind w:left="1417" w:hanging="1417"/>
      <w:outlineLvl w:val="4"/>
    </w:pPr>
  </w:style>
  <w:style w:type="paragraph" w:customStyle="1" w:styleId="ManualHeading6">
    <w:name w:val="Manual Heading 6"/>
    <w:basedOn w:val="Normlny"/>
    <w:next w:val="Text2"/>
    <w:pPr>
      <w:keepNext/>
      <w:tabs>
        <w:tab w:val="left" w:pos="1417"/>
      </w:tabs>
      <w:ind w:left="1417" w:hanging="1417"/>
      <w:outlineLvl w:val="5"/>
    </w:pPr>
  </w:style>
  <w:style w:type="paragraph" w:customStyle="1" w:styleId="ManualHeading7">
    <w:name w:val="Manual Heading 7"/>
    <w:basedOn w:val="Normlny"/>
    <w:next w:val="Text2"/>
    <w:pPr>
      <w:keepNext/>
      <w:tabs>
        <w:tab w:val="left" w:pos="1417"/>
      </w:tabs>
      <w:ind w:left="1417" w:hanging="1417"/>
      <w:outlineLvl w:val="6"/>
    </w:pPr>
  </w:style>
  <w:style w:type="paragraph" w:customStyle="1" w:styleId="ChapterTitle">
    <w:name w:val="ChapterTitle"/>
    <w:basedOn w:val="Normlny"/>
    <w:next w:val="Normlny"/>
    <w:pPr>
      <w:keepNext/>
      <w:spacing w:after="360"/>
      <w:jc w:val="center"/>
    </w:pPr>
    <w:rPr>
      <w:b/>
      <w:sz w:val="32"/>
    </w:rPr>
  </w:style>
  <w:style w:type="paragraph" w:customStyle="1" w:styleId="PartTitle">
    <w:name w:val="PartTitle"/>
    <w:basedOn w:val="Normlny"/>
    <w:next w:val="ChapterTitle"/>
    <w:pPr>
      <w:keepNext/>
      <w:pageBreakBefore/>
      <w:spacing w:after="360"/>
      <w:jc w:val="center"/>
    </w:pPr>
    <w:rPr>
      <w:b/>
      <w:sz w:val="36"/>
    </w:rPr>
  </w:style>
  <w:style w:type="paragraph" w:customStyle="1" w:styleId="SectionTitle">
    <w:name w:val="SectionTitle"/>
    <w:basedOn w:val="Normlny"/>
    <w:next w:val="Nadpis1"/>
    <w:pPr>
      <w:keepNext/>
      <w:spacing w:after="360"/>
      <w:jc w:val="center"/>
    </w:pPr>
    <w:rPr>
      <w:b/>
      <w:smallCaps/>
      <w:sz w:val="28"/>
    </w:rPr>
  </w:style>
  <w:style w:type="paragraph" w:customStyle="1" w:styleId="TableTitle">
    <w:name w:val="Table Title"/>
    <w:basedOn w:val="Normlny"/>
    <w:next w:val="Normlny"/>
    <w:pPr>
      <w:jc w:val="center"/>
    </w:pPr>
    <w:rPr>
      <w:b/>
    </w:rPr>
  </w:style>
  <w:style w:type="character" w:customStyle="1" w:styleId="Marker">
    <w:name w:val="Marker"/>
    <w:basedOn w:val="Predvolenpsmoodseku"/>
    <w:rPr>
      <w:color w:val="0000FF"/>
      <w:shd w:val="clear" w:color="auto" w:fill="auto"/>
    </w:rPr>
  </w:style>
  <w:style w:type="character" w:customStyle="1" w:styleId="Marker1">
    <w:name w:val="Marker1"/>
    <w:basedOn w:val="Predvolenpsmoodseku"/>
    <w:rPr>
      <w:color w:val="008000"/>
      <w:shd w:val="clear" w:color="auto" w:fill="auto"/>
    </w:rPr>
  </w:style>
  <w:style w:type="character" w:customStyle="1" w:styleId="Marker2">
    <w:name w:val="Marker2"/>
    <w:basedOn w:val="Predvolenpsmoodseku"/>
    <w:rPr>
      <w:color w:val="FF0000"/>
      <w:shd w:val="clear" w:color="auto" w:fill="auto"/>
    </w:rPr>
  </w:style>
  <w:style w:type="paragraph" w:customStyle="1" w:styleId="Point0number">
    <w:name w:val="Point 0 (number)"/>
    <w:basedOn w:val="Normlny"/>
    <w:pPr>
      <w:numPr>
        <w:numId w:val="33"/>
      </w:numPr>
    </w:pPr>
  </w:style>
  <w:style w:type="paragraph" w:customStyle="1" w:styleId="Point1number">
    <w:name w:val="Point 1 (number)"/>
    <w:basedOn w:val="Normlny"/>
    <w:pPr>
      <w:numPr>
        <w:ilvl w:val="2"/>
        <w:numId w:val="33"/>
      </w:numPr>
    </w:pPr>
  </w:style>
  <w:style w:type="paragraph" w:customStyle="1" w:styleId="Point2number">
    <w:name w:val="Point 2 (number)"/>
    <w:basedOn w:val="Normlny"/>
    <w:pPr>
      <w:numPr>
        <w:ilvl w:val="4"/>
        <w:numId w:val="33"/>
      </w:numPr>
    </w:pPr>
  </w:style>
  <w:style w:type="paragraph" w:customStyle="1" w:styleId="Point3number">
    <w:name w:val="Point 3 (number)"/>
    <w:basedOn w:val="Normlny"/>
    <w:pPr>
      <w:numPr>
        <w:ilvl w:val="6"/>
        <w:numId w:val="33"/>
      </w:numPr>
    </w:pPr>
  </w:style>
  <w:style w:type="paragraph" w:customStyle="1" w:styleId="Point0letter">
    <w:name w:val="Point 0 (letter)"/>
    <w:basedOn w:val="Normlny"/>
    <w:pPr>
      <w:numPr>
        <w:ilvl w:val="1"/>
        <w:numId w:val="33"/>
      </w:numPr>
    </w:pPr>
  </w:style>
  <w:style w:type="paragraph" w:customStyle="1" w:styleId="Point1letter">
    <w:name w:val="Point 1 (letter)"/>
    <w:basedOn w:val="Normlny"/>
    <w:pPr>
      <w:numPr>
        <w:ilvl w:val="3"/>
        <w:numId w:val="33"/>
      </w:numPr>
    </w:pPr>
  </w:style>
  <w:style w:type="paragraph" w:customStyle="1" w:styleId="Point2letter">
    <w:name w:val="Point 2 (letter)"/>
    <w:basedOn w:val="Normlny"/>
    <w:pPr>
      <w:numPr>
        <w:ilvl w:val="5"/>
        <w:numId w:val="33"/>
      </w:numPr>
    </w:pPr>
  </w:style>
  <w:style w:type="paragraph" w:customStyle="1" w:styleId="Point3letter">
    <w:name w:val="Point 3 (letter)"/>
    <w:basedOn w:val="Normlny"/>
    <w:pPr>
      <w:numPr>
        <w:ilvl w:val="7"/>
        <w:numId w:val="33"/>
      </w:numPr>
    </w:pPr>
  </w:style>
  <w:style w:type="paragraph" w:customStyle="1" w:styleId="Point4letter">
    <w:name w:val="Point 4 (letter)"/>
    <w:basedOn w:val="Normlny"/>
    <w:pPr>
      <w:numPr>
        <w:ilvl w:val="8"/>
        <w:numId w:val="33"/>
      </w:numPr>
    </w:pPr>
  </w:style>
  <w:style w:type="paragraph" w:customStyle="1" w:styleId="Bullet0">
    <w:name w:val="Bullet 0"/>
    <w:basedOn w:val="Normlny"/>
    <w:pPr>
      <w:numPr>
        <w:numId w:val="34"/>
      </w:numPr>
    </w:pPr>
  </w:style>
  <w:style w:type="paragraph" w:customStyle="1" w:styleId="Bullet1">
    <w:name w:val="Bullet 1"/>
    <w:basedOn w:val="Normlny"/>
    <w:pPr>
      <w:numPr>
        <w:numId w:val="35"/>
      </w:numPr>
    </w:pPr>
  </w:style>
  <w:style w:type="paragraph" w:customStyle="1" w:styleId="Bullet2">
    <w:name w:val="Bullet 2"/>
    <w:basedOn w:val="Normlny"/>
    <w:pPr>
      <w:numPr>
        <w:numId w:val="36"/>
      </w:numPr>
    </w:pPr>
  </w:style>
  <w:style w:type="paragraph" w:customStyle="1" w:styleId="Bullet3">
    <w:name w:val="Bullet 3"/>
    <w:basedOn w:val="Normlny"/>
    <w:pPr>
      <w:numPr>
        <w:numId w:val="37"/>
      </w:numPr>
    </w:pPr>
  </w:style>
  <w:style w:type="paragraph" w:customStyle="1" w:styleId="Bullet4">
    <w:name w:val="Bullet 4"/>
    <w:basedOn w:val="Normlny"/>
    <w:pPr>
      <w:numPr>
        <w:numId w:val="38"/>
      </w:numPr>
    </w:pPr>
  </w:style>
  <w:style w:type="paragraph" w:customStyle="1" w:styleId="Langue">
    <w:name w:val="Langue"/>
    <w:basedOn w:val="Norm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lny"/>
    <w:next w:val="Emission"/>
    <w:pPr>
      <w:spacing w:before="0" w:after="0"/>
      <w:jc w:val="left"/>
    </w:pPr>
    <w:rPr>
      <w:rFonts w:ascii="Arial" w:hAnsi="Arial" w:cs="Arial"/>
    </w:rPr>
  </w:style>
  <w:style w:type="paragraph" w:customStyle="1" w:styleId="Emission">
    <w:name w:val="Emission"/>
    <w:basedOn w:val="Normlny"/>
    <w:next w:val="Rfrenceinstitutionnelle"/>
    <w:pPr>
      <w:spacing w:before="0" w:after="0"/>
      <w:ind w:left="5103"/>
      <w:jc w:val="left"/>
    </w:pPr>
  </w:style>
  <w:style w:type="paragraph" w:customStyle="1" w:styleId="Rfrenceinstitutionnelle">
    <w:name w:val="Référence institutionnelle"/>
    <w:basedOn w:val="Normlny"/>
    <w:next w:val="Confidentialit"/>
    <w:pPr>
      <w:spacing w:before="0" w:after="240"/>
      <w:ind w:left="5103"/>
      <w:jc w:val="left"/>
    </w:pPr>
  </w:style>
  <w:style w:type="paragraph" w:customStyle="1" w:styleId="Pagedecouverture">
    <w:name w:val="Page de couverture"/>
    <w:basedOn w:val="Normlny"/>
    <w:next w:val="Normlny"/>
    <w:pPr>
      <w:spacing w:before="0" w:after="0"/>
    </w:pPr>
  </w:style>
  <w:style w:type="paragraph" w:customStyle="1" w:styleId="Declassification">
    <w:name w:val="Declassification"/>
    <w:basedOn w:val="Normlny"/>
    <w:next w:val="Normlny"/>
    <w:pPr>
      <w:spacing w:before="0" w:after="0"/>
    </w:p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lny"/>
    <w:pPr>
      <w:spacing w:before="0" w:after="0" w:line="276" w:lineRule="auto"/>
      <w:ind w:left="5103"/>
      <w:jc w:val="left"/>
    </w:pPr>
    <w:rPr>
      <w:sz w:val="28"/>
    </w:rPr>
  </w:style>
  <w:style w:type="paragraph" w:customStyle="1" w:styleId="DateMarking">
    <w:name w:val="DateMarking"/>
    <w:basedOn w:val="Normlny"/>
    <w:pPr>
      <w:spacing w:before="0" w:after="0" w:line="276" w:lineRule="auto"/>
      <w:ind w:left="5103"/>
      <w:jc w:val="left"/>
    </w:pPr>
    <w:rPr>
      <w:i/>
      <w:sz w:val="28"/>
    </w:rPr>
  </w:style>
  <w:style w:type="paragraph" w:customStyle="1" w:styleId="ReleasableTo">
    <w:name w:val="ReleasableTo"/>
    <w:basedOn w:val="Normlny"/>
    <w:pPr>
      <w:spacing w:before="0" w:after="0" w:line="276" w:lineRule="auto"/>
      <w:ind w:left="5103"/>
      <w:jc w:val="left"/>
    </w:pPr>
    <w:rPr>
      <w:i/>
      <w:sz w:val="28"/>
    </w:rPr>
  </w:style>
  <w:style w:type="paragraph" w:customStyle="1" w:styleId="Annexetitreexpos">
    <w:name w:val="Annexe titre (exposé)"/>
    <w:basedOn w:val="Normlny"/>
    <w:next w:val="Normlny"/>
    <w:pPr>
      <w:jc w:val="center"/>
    </w:pPr>
    <w:rPr>
      <w:b/>
      <w:u w:val="single"/>
    </w:rPr>
  </w:style>
  <w:style w:type="paragraph" w:customStyle="1" w:styleId="Annexetitre">
    <w:name w:val="Annexe titre"/>
    <w:basedOn w:val="Normlny"/>
    <w:next w:val="Normlny"/>
    <w:pPr>
      <w:jc w:val="center"/>
    </w:pPr>
    <w:rPr>
      <w:b/>
      <w:u w:val="single"/>
    </w:rPr>
  </w:style>
  <w:style w:type="paragraph" w:customStyle="1" w:styleId="Annexetitrefichefinancire">
    <w:name w:val="Annexe titre (fiche financière)"/>
    <w:basedOn w:val="Normlny"/>
    <w:next w:val="Normlny"/>
    <w:pPr>
      <w:jc w:val="center"/>
    </w:pPr>
    <w:rPr>
      <w:b/>
      <w:u w:val="single"/>
    </w:rPr>
  </w:style>
  <w:style w:type="paragraph" w:customStyle="1" w:styleId="Applicationdirecte">
    <w:name w:val="Application directe"/>
    <w:basedOn w:val="Normlny"/>
    <w:next w:val="Fait"/>
    <w:pPr>
      <w:spacing w:before="480"/>
    </w:pPr>
  </w:style>
  <w:style w:type="paragraph" w:customStyle="1" w:styleId="Avertissementtitre">
    <w:name w:val="Avertissement titre"/>
    <w:basedOn w:val="Normlny"/>
    <w:next w:val="Normlny"/>
    <w:pPr>
      <w:keepNext/>
      <w:spacing w:before="480"/>
    </w:pPr>
    <w:rPr>
      <w:u w:val="single"/>
    </w:rPr>
  </w:style>
  <w:style w:type="paragraph" w:customStyle="1" w:styleId="Confidence">
    <w:name w:val="Confidence"/>
    <w:basedOn w:val="Normlny"/>
    <w:next w:val="Normlny"/>
    <w:pPr>
      <w:spacing w:before="360"/>
      <w:jc w:val="center"/>
    </w:pPr>
  </w:style>
  <w:style w:type="paragraph" w:customStyle="1" w:styleId="Confidentialit">
    <w:name w:val="Confidentialité"/>
    <w:basedOn w:val="Normlny"/>
    <w:next w:val="TypedudocumentPagedecouverture"/>
    <w:pPr>
      <w:spacing w:before="240" w:after="240"/>
      <w:ind w:left="5103"/>
      <w:jc w:val="left"/>
    </w:pPr>
    <w:rPr>
      <w:i/>
      <w:sz w:val="32"/>
    </w:rPr>
  </w:style>
  <w:style w:type="paragraph" w:customStyle="1" w:styleId="Considrant">
    <w:name w:val="Considérant"/>
    <w:basedOn w:val="Normlny"/>
    <w:pPr>
      <w:numPr>
        <w:numId w:val="39"/>
      </w:numPr>
    </w:pPr>
  </w:style>
  <w:style w:type="paragraph" w:customStyle="1" w:styleId="Corrigendum">
    <w:name w:val="Corrigendum"/>
    <w:basedOn w:val="Normlny"/>
    <w:next w:val="Normlny"/>
    <w:pPr>
      <w:spacing w:before="0" w:after="240"/>
      <w:jc w:val="left"/>
    </w:pPr>
  </w:style>
  <w:style w:type="paragraph" w:customStyle="1" w:styleId="Datedadoption">
    <w:name w:val="Date d'adoption"/>
    <w:basedOn w:val="Normlny"/>
    <w:next w:val="Titreobjet"/>
    <w:pPr>
      <w:spacing w:before="360" w:after="0"/>
      <w:jc w:val="center"/>
    </w:pPr>
    <w:rPr>
      <w:b/>
    </w:rPr>
  </w:style>
  <w:style w:type="paragraph" w:customStyle="1" w:styleId="Exposdesmotifstitre">
    <w:name w:val="Exposé des motifs titre"/>
    <w:basedOn w:val="Normlny"/>
    <w:next w:val="Normlny"/>
    <w:pPr>
      <w:jc w:val="center"/>
    </w:pPr>
    <w:rPr>
      <w:b/>
      <w:u w:val="single"/>
    </w:rPr>
  </w:style>
  <w:style w:type="paragraph" w:customStyle="1" w:styleId="Fait">
    <w:name w:val="Fait à"/>
    <w:basedOn w:val="Normlny"/>
    <w:next w:val="Institutionquisigne"/>
    <w:pPr>
      <w:keepNext/>
      <w:spacing w:after="0"/>
    </w:pPr>
  </w:style>
  <w:style w:type="paragraph" w:customStyle="1" w:styleId="Formuledadoption">
    <w:name w:val="Formule d'adoption"/>
    <w:basedOn w:val="Normlny"/>
    <w:next w:val="Titrearticle"/>
    <w:pPr>
      <w:keepNext/>
    </w:pPr>
  </w:style>
  <w:style w:type="paragraph" w:customStyle="1" w:styleId="Institutionquiagit">
    <w:name w:val="Institution qui agit"/>
    <w:basedOn w:val="Normlny"/>
    <w:next w:val="Normlny"/>
    <w:pPr>
      <w:keepNext/>
      <w:spacing w:before="600"/>
    </w:pPr>
  </w:style>
  <w:style w:type="paragraph" w:customStyle="1" w:styleId="Institutionquisigne">
    <w:name w:val="Institution qui signe"/>
    <w:basedOn w:val="Normlny"/>
    <w:next w:val="Personnequisigne"/>
    <w:pPr>
      <w:keepNext/>
      <w:tabs>
        <w:tab w:val="left" w:pos="4252"/>
      </w:tabs>
      <w:spacing w:before="720" w:after="0"/>
    </w:pPr>
    <w:rPr>
      <w:i/>
    </w:rPr>
  </w:style>
  <w:style w:type="paragraph" w:customStyle="1" w:styleId="ManualConsidrant">
    <w:name w:val="Manual Considérant"/>
    <w:basedOn w:val="Normlny"/>
    <w:pPr>
      <w:ind w:left="709" w:hanging="709"/>
    </w:pPr>
  </w:style>
  <w:style w:type="paragraph" w:customStyle="1" w:styleId="Personnequisigne">
    <w:name w:val="Personne qui signe"/>
    <w:basedOn w:val="Normlny"/>
    <w:next w:val="Institutionquisigne"/>
    <w:pPr>
      <w:tabs>
        <w:tab w:val="left" w:pos="4252"/>
      </w:tabs>
      <w:spacing w:before="0" w:after="0"/>
      <w:jc w:val="left"/>
    </w:pPr>
    <w:rPr>
      <w:i/>
    </w:rPr>
  </w:style>
  <w:style w:type="paragraph" w:customStyle="1" w:styleId="Rfrenceinterinstitutionnelle">
    <w:name w:val="Référence interinstitutionnelle"/>
    <w:basedOn w:val="Normlny"/>
    <w:next w:val="Statut"/>
    <w:pPr>
      <w:spacing w:before="0" w:after="0"/>
      <w:ind w:left="5103"/>
      <w:jc w:val="left"/>
    </w:pPr>
  </w:style>
  <w:style w:type="paragraph" w:customStyle="1" w:styleId="Rfrenceinterne">
    <w:name w:val="Référence interne"/>
    <w:basedOn w:val="Normlny"/>
    <w:next w:val="Rfrenceinterinstitutionnelle"/>
    <w:pPr>
      <w:spacing w:before="0" w:after="0"/>
      <w:ind w:left="5103"/>
      <w:jc w:val="left"/>
    </w:pPr>
  </w:style>
  <w:style w:type="paragraph" w:customStyle="1" w:styleId="Statut">
    <w:name w:val="Statut"/>
    <w:basedOn w:val="Normlny"/>
    <w:next w:val="Typedudocument"/>
    <w:pPr>
      <w:spacing w:before="360" w:after="0"/>
      <w:jc w:val="center"/>
    </w:pPr>
  </w:style>
  <w:style w:type="paragraph" w:customStyle="1" w:styleId="Titrearticle">
    <w:name w:val="Titre article"/>
    <w:basedOn w:val="Normlny"/>
    <w:next w:val="Normlny"/>
    <w:pPr>
      <w:keepNext/>
      <w:spacing w:before="360"/>
      <w:jc w:val="center"/>
    </w:pPr>
    <w:rPr>
      <w:i/>
    </w:rPr>
  </w:style>
  <w:style w:type="paragraph" w:customStyle="1" w:styleId="Titreobjet">
    <w:name w:val="Titre objet"/>
    <w:basedOn w:val="Normlny"/>
    <w:next w:val="IntrtEEE"/>
    <w:pPr>
      <w:spacing w:before="360" w:after="360"/>
      <w:jc w:val="center"/>
    </w:pPr>
    <w:rPr>
      <w:b/>
    </w:rPr>
  </w:style>
  <w:style w:type="paragraph" w:customStyle="1" w:styleId="Typedudocument">
    <w:name w:val="Type du document"/>
    <w:basedOn w:val="Normlny"/>
    <w:next w:val="Titreobjet"/>
    <w:pPr>
      <w:spacing w:before="360" w:after="0"/>
      <w:jc w:val="center"/>
    </w:pPr>
    <w:rPr>
      <w:b/>
    </w:rPr>
  </w:style>
  <w:style w:type="character" w:customStyle="1" w:styleId="Added">
    <w:name w:val="Added"/>
    <w:basedOn w:val="Predvolenpsmoodseku"/>
    <w:rPr>
      <w:b/>
      <w:u w:val="single"/>
      <w:shd w:val="clear" w:color="auto" w:fill="auto"/>
    </w:rPr>
  </w:style>
  <w:style w:type="character" w:customStyle="1" w:styleId="Deleted">
    <w:name w:val="Deleted"/>
    <w:basedOn w:val="Predvolenpsmoodseku"/>
    <w:rPr>
      <w:strike/>
      <w:dstrike w:val="0"/>
      <w:shd w:val="clear" w:color="auto" w:fill="auto"/>
    </w:rPr>
  </w:style>
  <w:style w:type="paragraph" w:customStyle="1" w:styleId="Address">
    <w:name w:val="Address"/>
    <w:basedOn w:val="Normlny"/>
    <w:next w:val="Normlny"/>
    <w:pPr>
      <w:keepLines/>
      <w:spacing w:line="360" w:lineRule="auto"/>
      <w:ind w:left="3402"/>
      <w:jc w:val="left"/>
    </w:pPr>
  </w:style>
  <w:style w:type="paragraph" w:customStyle="1" w:styleId="Objetexterne">
    <w:name w:val="Objet externe"/>
    <w:basedOn w:val="Normlny"/>
    <w:next w:val="Normlny"/>
    <w:rPr>
      <w:i/>
      <w:caps/>
    </w:rPr>
  </w:style>
  <w:style w:type="paragraph" w:customStyle="1" w:styleId="Supertitre">
    <w:name w:val="Supertitre"/>
    <w:basedOn w:val="Normlny"/>
    <w:next w:val="Normlny"/>
    <w:pPr>
      <w:spacing w:before="0" w:after="600"/>
      <w:jc w:val="center"/>
    </w:pPr>
    <w:rPr>
      <w:b/>
    </w:rPr>
  </w:style>
  <w:style w:type="paragraph" w:customStyle="1" w:styleId="Languesfaisantfoi">
    <w:name w:val="Langues faisant foi"/>
    <w:basedOn w:val="Normlny"/>
    <w:next w:val="Normlny"/>
    <w:pPr>
      <w:spacing w:before="360" w:after="0"/>
      <w:jc w:val="center"/>
    </w:pPr>
  </w:style>
  <w:style w:type="paragraph" w:customStyle="1" w:styleId="Rfrencecroise">
    <w:name w:val="Référence croisée"/>
    <w:basedOn w:val="Normlny"/>
    <w:pPr>
      <w:spacing w:before="0" w:after="0"/>
      <w:jc w:val="center"/>
    </w:pPr>
  </w:style>
  <w:style w:type="paragraph" w:customStyle="1" w:styleId="Fichefinanciretitre">
    <w:name w:val="Fiche financière titre"/>
    <w:basedOn w:val="Normlny"/>
    <w:next w:val="Norm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y"/>
    <w:next w:val="Confidentialit"/>
    <w:pPr>
      <w:spacing w:before="0" w:after="240"/>
      <w:ind w:left="5103"/>
      <w:jc w:val="left"/>
    </w:pPr>
  </w:style>
  <w:style w:type="paragraph" w:customStyle="1" w:styleId="IntrtEEE">
    <w:name w:val="Intérêt EEE"/>
    <w:basedOn w:val="Languesfaisantfoi"/>
    <w:next w:val="Normlny"/>
    <w:pPr>
      <w:spacing w:after="240"/>
    </w:pPr>
  </w:style>
  <w:style w:type="paragraph" w:customStyle="1" w:styleId="Accompagnant">
    <w:name w:val="Accompagnant"/>
    <w:basedOn w:val="Normlny"/>
    <w:next w:val="Typeacteprincipal"/>
    <w:pPr>
      <w:spacing w:before="0" w:after="240"/>
      <w:jc w:val="center"/>
    </w:pPr>
    <w:rPr>
      <w:b/>
      <w:i/>
    </w:rPr>
  </w:style>
  <w:style w:type="paragraph" w:customStyle="1" w:styleId="Typeacteprincipal">
    <w:name w:val="Type acte principal"/>
    <w:basedOn w:val="Normlny"/>
    <w:next w:val="Objetacteprincipal"/>
    <w:pPr>
      <w:spacing w:before="0" w:after="240"/>
      <w:jc w:val="center"/>
    </w:pPr>
    <w:rPr>
      <w:b/>
    </w:rPr>
  </w:style>
  <w:style w:type="paragraph" w:customStyle="1" w:styleId="Objetacteprincipal">
    <w:name w:val="Objet acte principal"/>
    <w:basedOn w:val="Norm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y"/>
    <w:next w:val="Normlny"/>
    <w:pPr>
      <w:spacing w:before="360" w:after="0"/>
      <w:jc w:val="center"/>
    </w:pPr>
  </w:style>
  <w:style w:type="paragraph" w:styleId="Hlavika">
    <w:name w:val="header"/>
    <w:basedOn w:val="Normlny"/>
    <w:link w:val="HlavikaChar"/>
    <w:uiPriority w:val="99"/>
    <w:unhideWhenUsed/>
    <w:rsid w:val="003F317C"/>
    <w:pPr>
      <w:tabs>
        <w:tab w:val="center" w:pos="4535"/>
        <w:tab w:val="right" w:pos="9071"/>
      </w:tabs>
      <w:spacing w:before="0"/>
    </w:pPr>
  </w:style>
  <w:style w:type="paragraph" w:customStyle="1" w:styleId="HeaderLandscape">
    <w:name w:val="HeaderLandscape"/>
    <w:basedOn w:val="Normlny"/>
    <w:rsid w:val="003F317C"/>
    <w:pPr>
      <w:tabs>
        <w:tab w:val="center" w:pos="7285"/>
        <w:tab w:val="right" w:pos="14003"/>
      </w:tabs>
      <w:spacing w:before="0"/>
    </w:pPr>
  </w:style>
  <w:style w:type="paragraph" w:styleId="Pta">
    <w:name w:val="footer"/>
    <w:basedOn w:val="Normlny"/>
    <w:link w:val="PtaChar"/>
    <w:uiPriority w:val="99"/>
    <w:unhideWhenUsed/>
    <w:rsid w:val="003F317C"/>
    <w:pPr>
      <w:tabs>
        <w:tab w:val="center" w:pos="4535"/>
        <w:tab w:val="right" w:pos="9071"/>
        <w:tab w:val="right" w:pos="9921"/>
      </w:tabs>
      <w:spacing w:before="360" w:after="0"/>
      <w:ind w:left="-850" w:right="-850"/>
      <w:jc w:val="left"/>
    </w:pPr>
  </w:style>
  <w:style w:type="paragraph" w:customStyle="1" w:styleId="FooterLandscape">
    <w:name w:val="FooterLandscape"/>
    <w:basedOn w:val="Normlny"/>
    <w:rsid w:val="003F317C"/>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3540">
      <w:bodyDiv w:val="1"/>
      <w:marLeft w:val="0"/>
      <w:marRight w:val="0"/>
      <w:marTop w:val="0"/>
      <w:marBottom w:val="0"/>
      <w:divBdr>
        <w:top w:val="none" w:sz="0" w:space="0" w:color="auto"/>
        <w:left w:val="none" w:sz="0" w:space="0" w:color="auto"/>
        <w:bottom w:val="none" w:sz="0" w:space="0" w:color="auto"/>
        <w:right w:val="none" w:sz="0" w:space="0" w:color="auto"/>
      </w:divBdr>
    </w:div>
    <w:div w:id="837618248">
      <w:bodyDiv w:val="1"/>
      <w:marLeft w:val="0"/>
      <w:marRight w:val="0"/>
      <w:marTop w:val="0"/>
      <w:marBottom w:val="0"/>
      <w:divBdr>
        <w:top w:val="none" w:sz="0" w:space="0" w:color="auto"/>
        <w:left w:val="none" w:sz="0" w:space="0" w:color="auto"/>
        <w:bottom w:val="none" w:sz="0" w:space="0" w:color="auto"/>
        <w:right w:val="none" w:sz="0" w:space="0" w:color="auto"/>
      </w:divBdr>
    </w:div>
    <w:div w:id="891770718">
      <w:bodyDiv w:val="1"/>
      <w:marLeft w:val="0"/>
      <w:marRight w:val="0"/>
      <w:marTop w:val="0"/>
      <w:marBottom w:val="0"/>
      <w:divBdr>
        <w:top w:val="none" w:sz="0" w:space="0" w:color="auto"/>
        <w:left w:val="none" w:sz="0" w:space="0" w:color="auto"/>
        <w:bottom w:val="none" w:sz="0" w:space="0" w:color="auto"/>
        <w:right w:val="none" w:sz="0" w:space="0" w:color="auto"/>
      </w:divBdr>
    </w:div>
    <w:div w:id="1317028675">
      <w:bodyDiv w:val="1"/>
      <w:marLeft w:val="0"/>
      <w:marRight w:val="0"/>
      <w:marTop w:val="0"/>
      <w:marBottom w:val="0"/>
      <w:divBdr>
        <w:top w:val="none" w:sz="0" w:space="0" w:color="auto"/>
        <w:left w:val="none" w:sz="0" w:space="0" w:color="auto"/>
        <w:bottom w:val="none" w:sz="0" w:space="0" w:color="auto"/>
        <w:right w:val="none" w:sz="0" w:space="0" w:color="auto"/>
      </w:divBdr>
    </w:div>
    <w:div w:id="1541821947">
      <w:bodyDiv w:val="1"/>
      <w:marLeft w:val="0"/>
      <w:marRight w:val="0"/>
      <w:marTop w:val="0"/>
      <w:marBottom w:val="0"/>
      <w:divBdr>
        <w:top w:val="none" w:sz="0" w:space="0" w:color="auto"/>
        <w:left w:val="none" w:sz="0" w:space="0" w:color="auto"/>
        <w:bottom w:val="none" w:sz="0" w:space="0" w:color="auto"/>
        <w:right w:val="none" w:sz="0" w:space="0" w:color="auto"/>
      </w:divBdr>
    </w:div>
    <w:div w:id="1592815732">
      <w:bodyDiv w:val="1"/>
      <w:marLeft w:val="0"/>
      <w:marRight w:val="0"/>
      <w:marTop w:val="0"/>
      <w:marBottom w:val="0"/>
      <w:divBdr>
        <w:top w:val="none" w:sz="0" w:space="0" w:color="auto"/>
        <w:left w:val="none" w:sz="0" w:space="0" w:color="auto"/>
        <w:bottom w:val="none" w:sz="0" w:space="0" w:color="auto"/>
        <w:right w:val="none" w:sz="0" w:space="0" w:color="auto"/>
      </w:divBdr>
      <w:divsChild>
        <w:div w:id="730926519">
          <w:marLeft w:val="0"/>
          <w:marRight w:val="0"/>
          <w:marTop w:val="0"/>
          <w:marBottom w:val="0"/>
          <w:divBdr>
            <w:top w:val="none" w:sz="0" w:space="0" w:color="auto"/>
            <w:left w:val="none" w:sz="0" w:space="0" w:color="auto"/>
            <w:bottom w:val="none" w:sz="0" w:space="0" w:color="auto"/>
            <w:right w:val="none" w:sz="0" w:space="0" w:color="auto"/>
          </w:divBdr>
          <w:divsChild>
            <w:div w:id="51271834">
              <w:marLeft w:val="0"/>
              <w:marRight w:val="0"/>
              <w:marTop w:val="0"/>
              <w:marBottom w:val="0"/>
              <w:divBdr>
                <w:top w:val="none" w:sz="0" w:space="0" w:color="auto"/>
                <w:left w:val="none" w:sz="0" w:space="0" w:color="auto"/>
                <w:bottom w:val="none" w:sz="0" w:space="0" w:color="auto"/>
                <w:right w:val="none" w:sz="0" w:space="0" w:color="auto"/>
              </w:divBdr>
              <w:divsChild>
                <w:div w:id="677467439">
                  <w:marLeft w:val="0"/>
                  <w:marRight w:val="0"/>
                  <w:marTop w:val="0"/>
                  <w:marBottom w:val="0"/>
                  <w:divBdr>
                    <w:top w:val="none" w:sz="0" w:space="0" w:color="auto"/>
                    <w:left w:val="none" w:sz="0" w:space="0" w:color="auto"/>
                    <w:bottom w:val="none" w:sz="0" w:space="0" w:color="auto"/>
                    <w:right w:val="none" w:sz="0" w:space="0" w:color="auto"/>
                  </w:divBdr>
                  <w:divsChild>
                    <w:div w:id="10549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3685">
      <w:bodyDiv w:val="1"/>
      <w:marLeft w:val="0"/>
      <w:marRight w:val="0"/>
      <w:marTop w:val="0"/>
      <w:marBottom w:val="0"/>
      <w:divBdr>
        <w:top w:val="none" w:sz="0" w:space="0" w:color="auto"/>
        <w:left w:val="none" w:sz="0" w:space="0" w:color="auto"/>
        <w:bottom w:val="none" w:sz="0" w:space="0" w:color="auto"/>
        <w:right w:val="none" w:sz="0" w:space="0" w:color="auto"/>
      </w:divBdr>
    </w:div>
    <w:div w:id="1976788112">
      <w:bodyDiv w:val="1"/>
      <w:marLeft w:val="0"/>
      <w:marRight w:val="0"/>
      <w:marTop w:val="0"/>
      <w:marBottom w:val="0"/>
      <w:divBdr>
        <w:top w:val="none" w:sz="0" w:space="0" w:color="auto"/>
        <w:left w:val="none" w:sz="0" w:space="0" w:color="auto"/>
        <w:bottom w:val="none" w:sz="0" w:space="0" w:color="auto"/>
        <w:right w:val="none" w:sz="0" w:space="0" w:color="auto"/>
      </w:divBdr>
    </w:div>
    <w:div w:id="2092847194">
      <w:bodyDiv w:val="1"/>
      <w:marLeft w:val="0"/>
      <w:marRight w:val="0"/>
      <w:marTop w:val="0"/>
      <w:marBottom w:val="0"/>
      <w:divBdr>
        <w:top w:val="none" w:sz="0" w:space="0" w:color="auto"/>
        <w:left w:val="none" w:sz="0" w:space="0" w:color="auto"/>
        <w:bottom w:val="none" w:sz="0" w:space="0" w:color="auto"/>
        <w:right w:val="none" w:sz="0" w:space="0" w:color="auto"/>
      </w:divBdr>
    </w:div>
    <w:div w:id="2100826540">
      <w:bodyDiv w:val="1"/>
      <w:marLeft w:val="0"/>
      <w:marRight w:val="0"/>
      <w:marTop w:val="0"/>
      <w:marBottom w:val="0"/>
      <w:divBdr>
        <w:top w:val="none" w:sz="0" w:space="0" w:color="auto"/>
        <w:left w:val="none" w:sz="0" w:space="0" w:color="auto"/>
        <w:bottom w:val="none" w:sz="0" w:space="0" w:color="auto"/>
        <w:right w:val="none" w:sz="0" w:space="0" w:color="auto"/>
      </w:divBdr>
      <w:divsChild>
        <w:div w:id="205056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myintracomm.ec.europa.eu/corp/budget/financial-rules/legal-framework/internal-rules/Documents/2022-5-legislative-financial-statement-annex-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dir/2022/2523/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B7E7362AAAE48B89958A206263FD8" ma:contentTypeVersion="6" ma:contentTypeDescription="Create a new document." ma:contentTypeScope="" ma:versionID="b3698134556628b02478670c231a8e4c">
  <xsd:schema xmlns:xsd="http://www.w3.org/2001/XMLSchema" xmlns:xs="http://www.w3.org/2001/XMLSchema" xmlns:p="http://schemas.microsoft.com/office/2006/metadata/properties" xmlns:ns2="d7df4f5e-1d68-4db7-b5cb-59836e221a01" xmlns:ns3="1543d94b-300e-431d-bc09-f5d1a2e1cc05" targetNamespace="http://schemas.microsoft.com/office/2006/metadata/properties" ma:root="true" ma:fieldsID="fd901242028eb4c5a68b7d93004ba1f1" ns2:_="" ns3:_="">
    <xsd:import namespace="d7df4f5e-1d68-4db7-b5cb-59836e221a01"/>
    <xsd:import namespace="1543d94b-300e-431d-bc09-f5d1a2e1c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f4f5e-1d68-4db7-b5cb-59836e221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3d94b-300e-431d-bc09-f5d1a2e1cc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943EA-F397-46CE-90A4-70C23E97C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f4f5e-1d68-4db7-b5cb-59836e221a01"/>
    <ds:schemaRef ds:uri="1543d94b-300e-431d-bc09-f5d1a2e1c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5E027-6612-47E3-B2FE-F74C1F87B782}">
  <ds:schemaRefs>
    <ds:schemaRef ds:uri="http://schemas.openxmlformats.org/officeDocument/2006/bibliography"/>
  </ds:schemaRefs>
</ds:datastoreItem>
</file>

<file path=customXml/itemProps3.xml><?xml version="1.0" encoding="utf-8"?>
<ds:datastoreItem xmlns:ds="http://schemas.openxmlformats.org/officeDocument/2006/customXml" ds:itemID="{1BCB4F1F-8860-4F97-B812-91B6058061C9}">
  <ds:schemaRefs>
    <ds:schemaRef ds:uri="http://schemas.microsoft.com/sharepoint/v3/contenttype/forms"/>
  </ds:schemaRefs>
</ds:datastoreItem>
</file>

<file path=customXml/itemProps4.xml><?xml version="1.0" encoding="utf-8"?>
<ds:datastoreItem xmlns:ds="http://schemas.openxmlformats.org/officeDocument/2006/customXml" ds:itemID="{AAC778CF-45F5-441A-A8DD-8633E2C47D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29</Pages>
  <Words>10891</Words>
  <Characters>62079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72825</CharactersWithSpaces>
  <SharedDoc>false</SharedDoc>
  <HLinks>
    <vt:vector size="54" baseType="variant">
      <vt:variant>
        <vt:i4>6815844</vt:i4>
      </vt:variant>
      <vt:variant>
        <vt:i4>0</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262150</vt:i4>
      </vt:variant>
      <vt:variant>
        <vt:i4>18</vt:i4>
      </vt:variant>
      <vt:variant>
        <vt:i4>0</vt:i4>
      </vt:variant>
      <vt:variant>
        <vt:i4>5</vt:i4>
      </vt:variant>
      <vt:variant>
        <vt:lpwstr>https://myintracomm.ec.europa.eu/corp/budget/financial-rules/budget-implementation/Pages/implementation-methods.aspx</vt:lpwstr>
      </vt:variant>
      <vt:variant>
        <vt:lpwstr/>
      </vt:variant>
      <vt:variant>
        <vt:i4>6684777</vt:i4>
      </vt:variant>
      <vt:variant>
        <vt:i4>15</vt:i4>
      </vt:variant>
      <vt:variant>
        <vt:i4>0</vt:i4>
      </vt:variant>
      <vt:variant>
        <vt:i4>5</vt:i4>
      </vt:variant>
      <vt:variant>
        <vt:lpwstr>http://data.europa.eu/eli/dir/2022/2523/oj</vt:lpwstr>
      </vt:variant>
      <vt:variant>
        <vt:lpwstr/>
      </vt:variant>
      <vt:variant>
        <vt:i4>6750315</vt:i4>
      </vt:variant>
      <vt:variant>
        <vt:i4>12</vt:i4>
      </vt:variant>
      <vt:variant>
        <vt:i4>0</vt:i4>
      </vt:variant>
      <vt:variant>
        <vt:i4>5</vt:i4>
      </vt:variant>
      <vt:variant>
        <vt:lpwstr>http://data.europa.eu/eli/dir/2023/2226/oj</vt:lpwstr>
      </vt:variant>
      <vt:variant>
        <vt:lpwstr/>
      </vt:variant>
      <vt:variant>
        <vt:i4>5111838</vt:i4>
      </vt:variant>
      <vt:variant>
        <vt:i4>9</vt:i4>
      </vt:variant>
      <vt:variant>
        <vt:i4>0</vt:i4>
      </vt:variant>
      <vt:variant>
        <vt:i4>5</vt:i4>
      </vt:variant>
      <vt:variant>
        <vt:lpwstr>http://data.europa.eu/eli/dir/2021/514/oj</vt:lpwstr>
      </vt:variant>
      <vt:variant>
        <vt:lpwstr/>
      </vt:variant>
      <vt:variant>
        <vt:i4>4259860</vt:i4>
      </vt:variant>
      <vt:variant>
        <vt:i4>6</vt:i4>
      </vt:variant>
      <vt:variant>
        <vt:i4>0</vt:i4>
      </vt:variant>
      <vt:variant>
        <vt:i4>5</vt:i4>
      </vt:variant>
      <vt:variant>
        <vt:lpwstr>http://data.europa.eu/eli/dir/2016/881/oj</vt:lpwstr>
      </vt:variant>
      <vt:variant>
        <vt:lpwstr/>
      </vt:variant>
      <vt:variant>
        <vt:i4>4980764</vt:i4>
      </vt:variant>
      <vt:variant>
        <vt:i4>3</vt:i4>
      </vt:variant>
      <vt:variant>
        <vt:i4>0</vt:i4>
      </vt:variant>
      <vt:variant>
        <vt:i4>5</vt:i4>
      </vt:variant>
      <vt:variant>
        <vt:lpwstr>http://data.europa.eu/eli/dir/2014/107/oj</vt:lpwstr>
      </vt:variant>
      <vt:variant>
        <vt:lpwstr/>
      </vt:variant>
      <vt:variant>
        <vt:i4>6684777</vt:i4>
      </vt:variant>
      <vt:variant>
        <vt:i4>0</vt:i4>
      </vt:variant>
      <vt:variant>
        <vt:i4>0</vt:i4>
      </vt:variant>
      <vt:variant>
        <vt:i4>5</vt:i4>
      </vt:variant>
      <vt:variant>
        <vt:lpwstr>http://data.europa.eu/eli/dir/2022/2523/oj</vt:lpwstr>
      </vt:variant>
      <vt:variant>
        <vt:lpwstr/>
      </vt:variant>
      <vt:variant>
        <vt:i4>2883603</vt:i4>
      </vt:variant>
      <vt:variant>
        <vt:i4>0</vt:i4>
      </vt:variant>
      <vt:variant>
        <vt:i4>0</vt:i4>
      </vt:variant>
      <vt:variant>
        <vt:i4>5</vt:i4>
      </vt:variant>
      <vt:variant>
        <vt:lpwstr>mailto:Lauren.SMINK@ec.europa.eu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Metodika@skdp.sk</dc:creator>
  <cp:keywords/>
  <dc:description/>
  <cp:lastModifiedBy>Metodika@skdp.sk</cp:lastModifiedBy>
  <cp:revision>2</cp:revision>
  <cp:lastPrinted>2024-10-11T14:50:00Z</cp:lastPrinted>
  <dcterms:created xsi:type="dcterms:W3CDTF">2025-02-12T16:45:00Z</dcterms:created>
  <dcterms:modified xsi:type="dcterms:W3CDTF">2025-02-12T16:45:00Z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2023-09-13T16:20:48Z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0904eb44-9c31-470a-93bd-ce028e4e5655</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0x0101008A9B7E7362AAAE48B89958A206263FD8</vt:lpwstr>
  </property>
  <property fmtid="{D5CDD505-2E9C-101B-9397-08002B2CF9AE}" pid="18" name="DQCStatus">
    <vt:lpwstr>Green (DQC version 03)</vt:lpwstr>
  </property>
</Properties>
</file>