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52188" w14:textId="77777777" w:rsidR="00A45592" w:rsidRPr="00F106BC" w:rsidRDefault="00A45592" w:rsidP="00A45592">
      <w:pPr>
        <w:pStyle w:val="Nzov"/>
        <w:spacing w:beforeLines="20" w:before="48" w:afterLines="40" w:after="96"/>
        <w:rPr>
          <w:rFonts w:ascii="Times New Roman" w:hAnsi="Times New Roman" w:cs="Times New Roman"/>
          <w:caps/>
          <w:color w:val="000000" w:themeColor="text1"/>
          <w:spacing w:val="30"/>
        </w:rPr>
      </w:pPr>
      <w:r w:rsidRPr="00F106BC">
        <w:rPr>
          <w:rFonts w:ascii="Times New Roman" w:hAnsi="Times New Roman" w:cs="Times New Roman"/>
          <w:caps/>
          <w:color w:val="000000" w:themeColor="text1"/>
          <w:spacing w:val="30"/>
        </w:rPr>
        <w:t>Dôvodová správa</w:t>
      </w:r>
    </w:p>
    <w:p w14:paraId="762420DD" w14:textId="77777777" w:rsidR="00A45592" w:rsidRPr="00F106BC" w:rsidRDefault="00A45592" w:rsidP="00A45592">
      <w:pPr>
        <w:pStyle w:val="Nadpis1"/>
        <w:numPr>
          <w:ilvl w:val="0"/>
          <w:numId w:val="0"/>
        </w:numPr>
        <w:spacing w:beforeLines="20" w:before="48" w:afterLines="40" w:after="96"/>
        <w:rPr>
          <w:b w:val="0"/>
          <w:bCs w:val="0"/>
          <w:color w:val="000000" w:themeColor="text1"/>
          <w:sz w:val="24"/>
          <w:szCs w:val="24"/>
        </w:rPr>
      </w:pPr>
    </w:p>
    <w:p w14:paraId="630DC2E8" w14:textId="77777777" w:rsidR="00A45592" w:rsidRPr="00F106BC" w:rsidRDefault="00A45592" w:rsidP="00A45592">
      <w:pPr>
        <w:pStyle w:val="Nadpis1"/>
        <w:numPr>
          <w:ilvl w:val="0"/>
          <w:numId w:val="0"/>
        </w:numPr>
        <w:spacing w:beforeLines="20" w:before="48" w:afterLines="40" w:after="96"/>
        <w:rPr>
          <w:color w:val="000000" w:themeColor="text1"/>
          <w:sz w:val="24"/>
          <w:szCs w:val="24"/>
        </w:rPr>
      </w:pPr>
      <w:r w:rsidRPr="00F106BC">
        <w:rPr>
          <w:color w:val="000000" w:themeColor="text1"/>
          <w:sz w:val="24"/>
          <w:szCs w:val="24"/>
        </w:rPr>
        <w:t>A. Všeobecná časť</w:t>
      </w:r>
    </w:p>
    <w:p w14:paraId="21FB2B9B" w14:textId="77777777" w:rsidR="00A45592" w:rsidRPr="00F106BC" w:rsidRDefault="00A45592" w:rsidP="00A45592">
      <w:pPr>
        <w:pStyle w:val="Normlnywebov"/>
        <w:spacing w:beforeLines="20" w:before="48" w:beforeAutospacing="0" w:afterLines="40" w:after="96" w:afterAutospacing="0"/>
        <w:jc w:val="both"/>
      </w:pPr>
    </w:p>
    <w:p w14:paraId="3BC48D4F" w14:textId="77777777" w:rsidR="00A45592" w:rsidRPr="00F106BC" w:rsidRDefault="00A45592" w:rsidP="00A45592">
      <w:pPr>
        <w:spacing w:beforeLines="20" w:before="48" w:afterLines="40" w:after="96" w:line="240" w:lineRule="auto"/>
        <w:ind w:firstLine="708"/>
        <w:jc w:val="both"/>
        <w:rPr>
          <w:rFonts w:ascii="Times New Roman" w:hAnsi="Times New Roman" w:cs="Times New Roman"/>
          <w:sz w:val="24"/>
          <w:szCs w:val="24"/>
        </w:rPr>
      </w:pPr>
      <w:r>
        <w:rPr>
          <w:rFonts w:ascii="Times New Roman" w:hAnsi="Times New Roman" w:cs="Times New Roman"/>
          <w:sz w:val="24"/>
          <w:szCs w:val="24"/>
        </w:rPr>
        <w:t>Miestny p</w:t>
      </w:r>
      <w:r w:rsidRPr="00F106BC">
        <w:rPr>
          <w:rFonts w:ascii="Times New Roman" w:hAnsi="Times New Roman" w:cs="Times New Roman"/>
          <w:sz w:val="24"/>
          <w:szCs w:val="24"/>
        </w:rPr>
        <w:t xml:space="preserve">oplatok za rozvoj patrí medzi príjmové časti rozpočtu samospráv a má medziročne rastúci trend. Z aplikačnej praxe však vyplýva oprávnená požiadavka samospráv, ktoré majú </w:t>
      </w:r>
      <w:r>
        <w:rPr>
          <w:rFonts w:ascii="Times New Roman" w:hAnsi="Times New Roman" w:cs="Times New Roman"/>
          <w:sz w:val="24"/>
          <w:szCs w:val="24"/>
        </w:rPr>
        <w:t xml:space="preserve">miestny </w:t>
      </w:r>
      <w:r w:rsidRPr="00F106BC">
        <w:rPr>
          <w:rFonts w:ascii="Times New Roman" w:hAnsi="Times New Roman" w:cs="Times New Roman"/>
          <w:sz w:val="24"/>
          <w:szCs w:val="24"/>
        </w:rPr>
        <w:t xml:space="preserve">poplatok </w:t>
      </w:r>
      <w:r>
        <w:rPr>
          <w:rFonts w:ascii="Times New Roman" w:hAnsi="Times New Roman" w:cs="Times New Roman"/>
          <w:sz w:val="24"/>
          <w:szCs w:val="24"/>
        </w:rPr>
        <w:t xml:space="preserve">za rozvoj </w:t>
      </w:r>
      <w:r w:rsidRPr="00F106BC">
        <w:rPr>
          <w:rFonts w:ascii="Times New Roman" w:hAnsi="Times New Roman" w:cs="Times New Roman"/>
          <w:sz w:val="24"/>
          <w:szCs w:val="24"/>
        </w:rPr>
        <w:t xml:space="preserve">zavedený, aby bola rozšírená možnosť jeho využitia nad rámec dnešnej právnej úpravy. Napríklad NKÚ SR poukazuje na potrebu umožnenia využitia výnosu na nákup budov, čo však automaticky znamená ďalšie zaťaženie územia (https://www.nku.gov.sk/aktuality/-/asset_publisher/OkVQsC5cs53F/content//poplatok-za-rozvoj-obciam-pomaha-nevyuzivaju-ho-ale-ani-vsetky-krajske-mesta koordinovaný rozvoj územia, napríklad pozemkové úpravy). Preto je vhodnejšie preferovať také zmeny, ktoré rozšíria možnosti využitia poplatku aj na iné aktivity. Nakoľko tento typ poplatku sa od svojho zavedenia do praxe sústredil na finančné kompenzácie za zaťaženie územia investičnom výstavbou, vývoj a skúsenosti samospráv poukazujú na potrebu využitia časti výnosu na iné oblasti, ktoré korešpondujú so všestranným rozvojom územia. </w:t>
      </w:r>
    </w:p>
    <w:p w14:paraId="7E6DEBC8" w14:textId="77777777" w:rsidR="00A45592" w:rsidRPr="00F106BC" w:rsidRDefault="00A45592" w:rsidP="00A45592">
      <w:pPr>
        <w:spacing w:beforeLines="20" w:before="48" w:afterLines="40" w:after="96" w:line="240" w:lineRule="auto"/>
        <w:jc w:val="both"/>
        <w:rPr>
          <w:rFonts w:ascii="Times New Roman" w:hAnsi="Times New Roman" w:cs="Times New Roman"/>
          <w:sz w:val="24"/>
          <w:szCs w:val="24"/>
        </w:rPr>
      </w:pPr>
      <w:r w:rsidRPr="00F106BC">
        <w:rPr>
          <w:rFonts w:ascii="Times New Roman" w:hAnsi="Times New Roman" w:cs="Times New Roman"/>
          <w:sz w:val="24"/>
          <w:szCs w:val="24"/>
        </w:rPr>
        <w:tab/>
        <w:t xml:space="preserve">Zavedenie poplatku za rozvoj má rastúci trend, a to tak z hľadiska rozširovania samosprávami (tak v mestách, ako aj v obciach), ale aj s prihliadnutím na celkový finančný príjem samospráv, ktoré </w:t>
      </w:r>
      <w:r>
        <w:rPr>
          <w:rFonts w:ascii="Times New Roman" w:hAnsi="Times New Roman" w:cs="Times New Roman"/>
          <w:sz w:val="24"/>
          <w:szCs w:val="24"/>
        </w:rPr>
        <w:t xml:space="preserve">miestny </w:t>
      </w:r>
      <w:r w:rsidRPr="00F106BC">
        <w:rPr>
          <w:rFonts w:ascii="Times New Roman" w:hAnsi="Times New Roman" w:cs="Times New Roman"/>
          <w:sz w:val="24"/>
          <w:szCs w:val="24"/>
        </w:rPr>
        <w:t xml:space="preserve">poplatok za rozvoj zaviedli do svojej územnej aplikačnej praxe. </w:t>
      </w:r>
    </w:p>
    <w:p w14:paraId="59FB60EC" w14:textId="77777777" w:rsidR="00A45592" w:rsidRPr="00F106BC" w:rsidRDefault="00A45592" w:rsidP="00A45592">
      <w:pPr>
        <w:spacing w:beforeLines="20" w:before="48" w:afterLines="40" w:after="96" w:line="240" w:lineRule="auto"/>
        <w:jc w:val="both"/>
        <w:rPr>
          <w:rFonts w:ascii="Times New Roman" w:hAnsi="Times New Roman" w:cs="Times New Roman"/>
          <w:sz w:val="24"/>
          <w:szCs w:val="24"/>
        </w:rPr>
      </w:pPr>
      <w:r w:rsidRPr="00F106BC">
        <w:rPr>
          <w:rFonts w:ascii="Times New Roman" w:hAnsi="Times New Roman" w:cs="Times New Roman"/>
          <w:sz w:val="24"/>
          <w:szCs w:val="24"/>
        </w:rPr>
        <w:tab/>
        <w:t xml:space="preserve">Podľa NKÚ SR, sa od roku 2017 každoročne výška vybraného príspevku zvyšuje. Kým v prvom roku obce takto získali vyše 2,6 mil. eur, v roku 2022 všetky obce na Slovensku cez </w:t>
      </w:r>
      <w:r>
        <w:rPr>
          <w:rFonts w:ascii="Times New Roman" w:hAnsi="Times New Roman" w:cs="Times New Roman"/>
          <w:sz w:val="24"/>
          <w:szCs w:val="24"/>
        </w:rPr>
        <w:t xml:space="preserve">miestny </w:t>
      </w:r>
      <w:r w:rsidRPr="00F106BC">
        <w:rPr>
          <w:rFonts w:ascii="Times New Roman" w:hAnsi="Times New Roman" w:cs="Times New Roman"/>
          <w:sz w:val="24"/>
          <w:szCs w:val="24"/>
        </w:rPr>
        <w:t>poplatok za rozvoj vybrali vyše 30 mil. eur</w:t>
      </w:r>
    </w:p>
    <w:p w14:paraId="1BC234F3" w14:textId="77777777" w:rsidR="00A45592" w:rsidRPr="00F106BC" w:rsidRDefault="00A45592" w:rsidP="00A45592">
      <w:pPr>
        <w:spacing w:beforeLines="20" w:before="48" w:afterLines="40" w:after="96" w:line="240" w:lineRule="auto"/>
        <w:jc w:val="both"/>
        <w:rPr>
          <w:rFonts w:ascii="Times New Roman" w:hAnsi="Times New Roman" w:cs="Times New Roman"/>
          <w:sz w:val="24"/>
          <w:szCs w:val="24"/>
        </w:rPr>
      </w:pPr>
      <w:r w:rsidRPr="00F106BC">
        <w:rPr>
          <w:rFonts w:ascii="Times New Roman" w:hAnsi="Times New Roman" w:cs="Times New Roman"/>
          <w:sz w:val="24"/>
          <w:szCs w:val="24"/>
        </w:rPr>
        <w:tab/>
        <w:t xml:space="preserve">Najvyššie výnosy z poplatku za rozvoj dosiahla v skupine obcí sledovanej kontrolou NKÚ SR obec Miloslavov v roku 2022 a to vo výške 4, 73 milióna EUR. V poradí druhý najvyšší príjem dosiahli Malacky na úrovni 3, 019 mil. EUR. Obec Gbeľany získala z poplatku sumu 1, 33 milióna EUR. </w:t>
      </w:r>
    </w:p>
    <w:p w14:paraId="04760162" w14:textId="77777777" w:rsidR="00A45592" w:rsidRPr="00F106BC" w:rsidRDefault="00A45592" w:rsidP="00A45592">
      <w:pPr>
        <w:spacing w:beforeLines="20" w:before="48" w:afterLines="40" w:after="96" w:line="240" w:lineRule="auto"/>
        <w:jc w:val="both"/>
        <w:rPr>
          <w:rFonts w:ascii="Times New Roman" w:hAnsi="Times New Roman" w:cs="Times New Roman"/>
          <w:sz w:val="24"/>
          <w:szCs w:val="24"/>
        </w:rPr>
      </w:pPr>
      <w:r w:rsidRPr="00F106BC">
        <w:rPr>
          <w:rFonts w:ascii="Times New Roman" w:hAnsi="Times New Roman" w:cs="Times New Roman"/>
          <w:sz w:val="24"/>
          <w:szCs w:val="24"/>
        </w:rPr>
        <w:tab/>
        <w:t xml:space="preserve">Podľa správy NKÚ SR viac ako tretinu výnosu obce využili na investície do miestnych komunikácií, verejného osvetlenia a technickej infraštruktúry. Takmer tretina výnosu bola investovaná do športových, kultúrnych a sociálnych zariadení. Viac ako 20 % výnosu bolo investovaných do verejných parkov a zelene, zdravotníctva a sociálneho bývania. Podľa NKÚ je problémom pri poplatku za rozvoj fakt, že stanovením sadzieb sa nereflektuje na infláciu. </w:t>
      </w:r>
    </w:p>
    <w:p w14:paraId="3E1FBB6F" w14:textId="77777777" w:rsidR="00A45592" w:rsidRPr="00F106BC" w:rsidRDefault="00A45592" w:rsidP="00A45592">
      <w:pPr>
        <w:spacing w:beforeLines="20" w:before="48" w:afterLines="40" w:after="96" w:line="240" w:lineRule="auto"/>
        <w:jc w:val="both"/>
        <w:rPr>
          <w:rFonts w:ascii="Times New Roman" w:hAnsi="Times New Roman" w:cs="Times New Roman"/>
          <w:sz w:val="24"/>
          <w:szCs w:val="24"/>
        </w:rPr>
      </w:pPr>
      <w:r w:rsidRPr="00F106BC">
        <w:rPr>
          <w:rFonts w:ascii="Times New Roman" w:hAnsi="Times New Roman" w:cs="Times New Roman"/>
          <w:sz w:val="24"/>
          <w:szCs w:val="24"/>
        </w:rPr>
        <w:tab/>
        <w:t xml:space="preserve">Podľa Inštitútu urbánneho rozvoja je využívanie poplatku za rozvoj reakciou na chýbajúce financie v samosprávach, pričom podľa inštitútu malá časť poplatku sa využíva na financovanie novej infraštruktúry. Problémom podľa tohto inštitútu sú tzv. súvisiace investície, pretože naďalej pretrvávajú požiadavky na financovanie súvisiacich investícií a pritom aj úhradu poplatku za rozvoj. </w:t>
      </w:r>
    </w:p>
    <w:p w14:paraId="626658F4" w14:textId="77777777" w:rsidR="00A45592" w:rsidRPr="00F106BC" w:rsidRDefault="00A45592" w:rsidP="00A45592">
      <w:pPr>
        <w:spacing w:beforeLines="20" w:before="48" w:afterLines="40" w:after="96" w:line="240" w:lineRule="auto"/>
        <w:jc w:val="both"/>
        <w:rPr>
          <w:rFonts w:ascii="Times New Roman" w:hAnsi="Times New Roman" w:cs="Times New Roman"/>
          <w:sz w:val="24"/>
          <w:szCs w:val="24"/>
        </w:rPr>
      </w:pPr>
      <w:r w:rsidRPr="00F106BC">
        <w:rPr>
          <w:rFonts w:ascii="Times New Roman" w:hAnsi="Times New Roman" w:cs="Times New Roman"/>
          <w:sz w:val="24"/>
          <w:szCs w:val="24"/>
        </w:rPr>
        <w:tab/>
        <w:t xml:space="preserve">Inštitút digitálnych a regionálnych politík </w:t>
      </w:r>
      <w:r>
        <w:rPr>
          <w:rFonts w:ascii="Times New Roman" w:hAnsi="Times New Roman" w:cs="Times New Roman"/>
          <w:sz w:val="24"/>
          <w:szCs w:val="24"/>
        </w:rPr>
        <w:t xml:space="preserve">(ďalej len „IDRP“) </w:t>
      </w:r>
      <w:r w:rsidRPr="00F106BC">
        <w:rPr>
          <w:rFonts w:ascii="Times New Roman" w:hAnsi="Times New Roman" w:cs="Times New Roman"/>
          <w:sz w:val="24"/>
          <w:szCs w:val="24"/>
        </w:rPr>
        <w:t xml:space="preserve">v spolupráci s MF SR vypracoval prehľad o počte miest, obcí a mestských častí, ktoré majú </w:t>
      </w:r>
      <w:r>
        <w:rPr>
          <w:rFonts w:ascii="Times New Roman" w:hAnsi="Times New Roman" w:cs="Times New Roman"/>
          <w:sz w:val="24"/>
          <w:szCs w:val="24"/>
        </w:rPr>
        <w:t xml:space="preserve">miestny </w:t>
      </w:r>
      <w:r w:rsidRPr="00F106BC">
        <w:rPr>
          <w:rFonts w:ascii="Times New Roman" w:hAnsi="Times New Roman" w:cs="Times New Roman"/>
          <w:sz w:val="24"/>
          <w:szCs w:val="24"/>
        </w:rPr>
        <w:t xml:space="preserve">poplatok </w:t>
      </w:r>
      <w:r>
        <w:rPr>
          <w:rFonts w:ascii="Times New Roman" w:hAnsi="Times New Roman" w:cs="Times New Roman"/>
          <w:sz w:val="24"/>
          <w:szCs w:val="24"/>
        </w:rPr>
        <w:t xml:space="preserve">za rozvoj </w:t>
      </w:r>
      <w:r w:rsidRPr="00F106BC">
        <w:rPr>
          <w:rFonts w:ascii="Times New Roman" w:hAnsi="Times New Roman" w:cs="Times New Roman"/>
          <w:sz w:val="24"/>
          <w:szCs w:val="24"/>
        </w:rPr>
        <w:t xml:space="preserve">zavedený za roky 2018 až 2023.  Databáza poplatkov za miestny rozvoj obsahuje údaje od roku 2018. Spracované dáta sú štruktúrované podľa kraja, štatútu mesta a obce. V rámci Bratislavy a Košíc sú dáta sledované podľa jednotlivých mestských častí. </w:t>
      </w:r>
    </w:p>
    <w:p w14:paraId="0B6F7B5C" w14:textId="77777777" w:rsidR="00A45592" w:rsidRPr="00F106BC" w:rsidRDefault="00A45592" w:rsidP="00A45592">
      <w:pPr>
        <w:spacing w:beforeLines="20" w:before="48" w:afterLines="40" w:after="96" w:line="240" w:lineRule="auto"/>
        <w:ind w:firstLine="708"/>
        <w:jc w:val="both"/>
        <w:rPr>
          <w:rFonts w:ascii="Times New Roman" w:hAnsi="Times New Roman" w:cs="Times New Roman"/>
          <w:sz w:val="24"/>
          <w:szCs w:val="24"/>
        </w:rPr>
      </w:pPr>
      <w:r w:rsidRPr="00F106BC">
        <w:rPr>
          <w:rFonts w:ascii="Times New Roman" w:hAnsi="Times New Roman" w:cs="Times New Roman"/>
          <w:sz w:val="24"/>
          <w:szCs w:val="24"/>
        </w:rPr>
        <w:t xml:space="preserve">V roku 2018 </w:t>
      </w:r>
      <w:r>
        <w:rPr>
          <w:rFonts w:ascii="Times New Roman" w:hAnsi="Times New Roman" w:cs="Times New Roman"/>
          <w:sz w:val="24"/>
          <w:szCs w:val="24"/>
        </w:rPr>
        <w:t xml:space="preserve">miestny </w:t>
      </w:r>
      <w:r w:rsidRPr="00F106BC">
        <w:rPr>
          <w:rFonts w:ascii="Times New Roman" w:hAnsi="Times New Roman" w:cs="Times New Roman"/>
          <w:sz w:val="24"/>
          <w:szCs w:val="24"/>
        </w:rPr>
        <w:t xml:space="preserve">poplatok </w:t>
      </w:r>
      <w:r>
        <w:rPr>
          <w:rFonts w:ascii="Times New Roman" w:hAnsi="Times New Roman" w:cs="Times New Roman"/>
          <w:sz w:val="24"/>
          <w:szCs w:val="24"/>
        </w:rPr>
        <w:t xml:space="preserve">za rozvoj </w:t>
      </w:r>
      <w:r w:rsidRPr="00F106BC">
        <w:rPr>
          <w:rFonts w:ascii="Times New Roman" w:hAnsi="Times New Roman" w:cs="Times New Roman"/>
          <w:sz w:val="24"/>
          <w:szCs w:val="24"/>
        </w:rPr>
        <w:t xml:space="preserve">vyberalo 11 miest a 67 obcí (+ 12 mestských častí Bratislavy) v celkovej sume 13 miliónov eur. </w:t>
      </w:r>
    </w:p>
    <w:p w14:paraId="4EDC2F6B" w14:textId="77777777" w:rsidR="00A45592" w:rsidRPr="00F106BC" w:rsidRDefault="00A45592" w:rsidP="00A45592">
      <w:pPr>
        <w:spacing w:beforeLines="20" w:before="48" w:afterLines="40" w:after="96" w:line="240" w:lineRule="auto"/>
        <w:ind w:firstLine="708"/>
        <w:jc w:val="both"/>
        <w:rPr>
          <w:rFonts w:ascii="Times New Roman" w:hAnsi="Times New Roman" w:cs="Times New Roman"/>
          <w:sz w:val="24"/>
          <w:szCs w:val="24"/>
        </w:rPr>
      </w:pPr>
      <w:r w:rsidRPr="00F106BC">
        <w:rPr>
          <w:rFonts w:ascii="Times New Roman" w:hAnsi="Times New Roman" w:cs="Times New Roman"/>
          <w:sz w:val="24"/>
          <w:szCs w:val="24"/>
        </w:rPr>
        <w:t xml:space="preserve">V roku 2019 počet miest vzrástol na 13 a počet obcí na 87 (+14 mestských častí Bratislavy) v celkovej sume 12 miliónov eur. </w:t>
      </w:r>
    </w:p>
    <w:p w14:paraId="70140225" w14:textId="77777777" w:rsidR="00A45592" w:rsidRPr="00F106BC" w:rsidRDefault="00A45592" w:rsidP="00A45592">
      <w:pPr>
        <w:spacing w:beforeLines="20" w:before="48" w:afterLines="40" w:after="96" w:line="240" w:lineRule="auto"/>
        <w:ind w:firstLine="708"/>
        <w:jc w:val="both"/>
        <w:rPr>
          <w:rFonts w:ascii="Times New Roman" w:hAnsi="Times New Roman" w:cs="Times New Roman"/>
          <w:sz w:val="24"/>
          <w:szCs w:val="24"/>
        </w:rPr>
      </w:pPr>
      <w:r w:rsidRPr="00F106BC">
        <w:rPr>
          <w:rFonts w:ascii="Times New Roman" w:hAnsi="Times New Roman" w:cs="Times New Roman"/>
          <w:sz w:val="24"/>
          <w:szCs w:val="24"/>
        </w:rPr>
        <w:lastRenderedPageBreak/>
        <w:t>V roku 2020</w:t>
      </w:r>
      <w:r>
        <w:rPr>
          <w:rFonts w:ascii="Times New Roman" w:hAnsi="Times New Roman" w:cs="Times New Roman"/>
          <w:sz w:val="24"/>
          <w:szCs w:val="24"/>
        </w:rPr>
        <w:t xml:space="preserve"> miestny</w:t>
      </w:r>
      <w:r w:rsidRPr="00F106BC">
        <w:rPr>
          <w:rFonts w:ascii="Times New Roman" w:hAnsi="Times New Roman" w:cs="Times New Roman"/>
          <w:sz w:val="24"/>
          <w:szCs w:val="24"/>
        </w:rPr>
        <w:t xml:space="preserve"> poplatok</w:t>
      </w:r>
      <w:r>
        <w:rPr>
          <w:rFonts w:ascii="Times New Roman" w:hAnsi="Times New Roman" w:cs="Times New Roman"/>
          <w:sz w:val="24"/>
          <w:szCs w:val="24"/>
        </w:rPr>
        <w:t xml:space="preserve"> za rozvoj</w:t>
      </w:r>
      <w:r w:rsidRPr="00F106BC">
        <w:rPr>
          <w:rFonts w:ascii="Times New Roman" w:hAnsi="Times New Roman" w:cs="Times New Roman"/>
          <w:sz w:val="24"/>
          <w:szCs w:val="24"/>
        </w:rPr>
        <w:t xml:space="preserve"> vyberalo 24 miest a 144 obcí (+14 mestských častí Bratislavy) v celkovej sume 14 miliónov eur. </w:t>
      </w:r>
    </w:p>
    <w:p w14:paraId="4AA34352" w14:textId="77777777" w:rsidR="00A45592" w:rsidRPr="00F106BC" w:rsidRDefault="00A45592" w:rsidP="00A45592">
      <w:pPr>
        <w:spacing w:beforeLines="20" w:before="48" w:afterLines="40" w:after="96" w:line="240" w:lineRule="auto"/>
        <w:ind w:firstLine="708"/>
        <w:jc w:val="both"/>
        <w:rPr>
          <w:rFonts w:ascii="Times New Roman" w:hAnsi="Times New Roman" w:cs="Times New Roman"/>
          <w:sz w:val="24"/>
          <w:szCs w:val="24"/>
        </w:rPr>
      </w:pPr>
      <w:r w:rsidRPr="00F106BC">
        <w:rPr>
          <w:rFonts w:ascii="Times New Roman" w:hAnsi="Times New Roman" w:cs="Times New Roman"/>
          <w:sz w:val="24"/>
          <w:szCs w:val="24"/>
        </w:rPr>
        <w:t xml:space="preserve">V roku 2021 </w:t>
      </w:r>
      <w:r>
        <w:rPr>
          <w:rFonts w:ascii="Times New Roman" w:hAnsi="Times New Roman" w:cs="Times New Roman"/>
          <w:sz w:val="24"/>
          <w:szCs w:val="24"/>
        </w:rPr>
        <w:t xml:space="preserve">miestny </w:t>
      </w:r>
      <w:r w:rsidRPr="00F106BC">
        <w:rPr>
          <w:rFonts w:ascii="Times New Roman" w:hAnsi="Times New Roman" w:cs="Times New Roman"/>
          <w:sz w:val="24"/>
          <w:szCs w:val="24"/>
        </w:rPr>
        <w:t>poplatok</w:t>
      </w:r>
      <w:r>
        <w:rPr>
          <w:rFonts w:ascii="Times New Roman" w:hAnsi="Times New Roman" w:cs="Times New Roman"/>
          <w:sz w:val="24"/>
          <w:szCs w:val="24"/>
        </w:rPr>
        <w:t xml:space="preserve"> za rozvoj</w:t>
      </w:r>
      <w:r w:rsidRPr="00F106BC">
        <w:rPr>
          <w:rFonts w:ascii="Times New Roman" w:hAnsi="Times New Roman" w:cs="Times New Roman"/>
          <w:sz w:val="24"/>
          <w:szCs w:val="24"/>
        </w:rPr>
        <w:t xml:space="preserve"> vyberalo 24 miest a 193 obcí (+16 mestských častí Bratislavy a 12 mestských častí Košíc) v celkovej sume 22 miliónov eur. </w:t>
      </w:r>
    </w:p>
    <w:p w14:paraId="745A809F" w14:textId="77777777" w:rsidR="00A45592" w:rsidRPr="00F106BC" w:rsidRDefault="00A45592" w:rsidP="00A45592">
      <w:pPr>
        <w:spacing w:beforeLines="20" w:before="48" w:afterLines="40" w:after="96" w:line="240" w:lineRule="auto"/>
        <w:ind w:firstLine="708"/>
        <w:jc w:val="both"/>
        <w:rPr>
          <w:rFonts w:ascii="Times New Roman" w:hAnsi="Times New Roman" w:cs="Times New Roman"/>
          <w:sz w:val="24"/>
          <w:szCs w:val="24"/>
        </w:rPr>
      </w:pPr>
      <w:r w:rsidRPr="00F106BC">
        <w:rPr>
          <w:rFonts w:ascii="Times New Roman" w:hAnsi="Times New Roman" w:cs="Times New Roman"/>
          <w:sz w:val="24"/>
          <w:szCs w:val="24"/>
        </w:rPr>
        <w:t xml:space="preserve">V roku 2022 počet miest vzrástol na 28 a počet obcí na 234 (+16 mestských častí Bratislavy a 13 mestských častí Košíc) v celkovej sume 26 miliónov eur. </w:t>
      </w:r>
    </w:p>
    <w:p w14:paraId="4F0539D0" w14:textId="77777777" w:rsidR="00A45592" w:rsidRPr="00F106BC" w:rsidRDefault="00A45592" w:rsidP="00A45592">
      <w:pPr>
        <w:spacing w:beforeLines="20" w:before="48" w:afterLines="40" w:after="96" w:line="240" w:lineRule="auto"/>
        <w:ind w:firstLine="708"/>
        <w:jc w:val="both"/>
        <w:rPr>
          <w:rFonts w:ascii="Times New Roman" w:hAnsi="Times New Roman" w:cs="Times New Roman"/>
          <w:sz w:val="24"/>
          <w:szCs w:val="24"/>
        </w:rPr>
      </w:pPr>
      <w:r w:rsidRPr="00F106BC">
        <w:rPr>
          <w:rFonts w:ascii="Times New Roman" w:hAnsi="Times New Roman" w:cs="Times New Roman"/>
          <w:sz w:val="24"/>
          <w:szCs w:val="24"/>
        </w:rPr>
        <w:t xml:space="preserve">V roku 2023 </w:t>
      </w:r>
      <w:r>
        <w:rPr>
          <w:rFonts w:ascii="Times New Roman" w:hAnsi="Times New Roman" w:cs="Times New Roman"/>
          <w:sz w:val="24"/>
          <w:szCs w:val="24"/>
        </w:rPr>
        <w:t xml:space="preserve">miestny </w:t>
      </w:r>
      <w:r w:rsidRPr="00F106BC">
        <w:rPr>
          <w:rFonts w:ascii="Times New Roman" w:hAnsi="Times New Roman" w:cs="Times New Roman"/>
          <w:sz w:val="24"/>
          <w:szCs w:val="24"/>
        </w:rPr>
        <w:t>poplatok</w:t>
      </w:r>
      <w:r>
        <w:rPr>
          <w:rFonts w:ascii="Times New Roman" w:hAnsi="Times New Roman" w:cs="Times New Roman"/>
          <w:sz w:val="24"/>
          <w:szCs w:val="24"/>
        </w:rPr>
        <w:t xml:space="preserve"> za rozvoj</w:t>
      </w:r>
      <w:r w:rsidRPr="00F106BC">
        <w:rPr>
          <w:rFonts w:ascii="Times New Roman" w:hAnsi="Times New Roman" w:cs="Times New Roman"/>
          <w:sz w:val="24"/>
          <w:szCs w:val="24"/>
        </w:rPr>
        <w:t xml:space="preserve"> vyberalo 34 miest a 280 obcí (+16 mestských častí Bratislavy a 12 mestských častí Košíc) v celkovej sume 21 miliónov eur.</w:t>
      </w:r>
    </w:p>
    <w:p w14:paraId="1687C9B1" w14:textId="77777777" w:rsidR="00A45592" w:rsidRPr="00EF718C" w:rsidRDefault="00A45592" w:rsidP="00A45592">
      <w:pPr>
        <w:spacing w:beforeLines="20" w:before="48" w:afterLines="40" w:after="96"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A45592" w:rsidRPr="00EF718C" w14:paraId="6829410D" w14:textId="77777777" w:rsidTr="00F151BC">
        <w:tc>
          <w:tcPr>
            <w:tcW w:w="4531" w:type="dxa"/>
            <w:tcBorders>
              <w:left w:val="single" w:sz="4" w:space="0" w:color="FFFFFF"/>
              <w:right w:val="single" w:sz="4" w:space="0" w:color="FFFFFF"/>
            </w:tcBorders>
            <w:shd w:val="clear" w:color="auto" w:fill="auto"/>
          </w:tcPr>
          <w:p w14:paraId="725138B4" w14:textId="77777777" w:rsidR="00A45592" w:rsidRPr="00EF718C" w:rsidRDefault="00A45592" w:rsidP="00F151BC">
            <w:pPr>
              <w:spacing w:beforeLines="20" w:before="48" w:afterLines="40" w:after="96" w:line="240" w:lineRule="auto"/>
              <w:rPr>
                <w:rFonts w:ascii="Times New Roman" w:eastAsia="Aptos" w:hAnsi="Times New Roman" w:cs="Times New Roman"/>
                <w:b/>
                <w:bCs/>
              </w:rPr>
            </w:pPr>
            <w:r w:rsidRPr="00EF718C">
              <w:rPr>
                <w:rFonts w:ascii="Times New Roman" w:eastAsia="Aptos" w:hAnsi="Times New Roman" w:cs="Times New Roman"/>
                <w:b/>
                <w:bCs/>
              </w:rPr>
              <w:t xml:space="preserve">Graf 1: Vývoj počtu miest, ktoré vyberali </w:t>
            </w:r>
            <w:r>
              <w:rPr>
                <w:rFonts w:ascii="Times New Roman" w:eastAsia="Aptos" w:hAnsi="Times New Roman" w:cs="Times New Roman"/>
                <w:b/>
                <w:bCs/>
              </w:rPr>
              <w:t xml:space="preserve">miestny </w:t>
            </w:r>
            <w:r w:rsidRPr="00EF718C">
              <w:rPr>
                <w:rFonts w:ascii="Times New Roman" w:eastAsia="Aptos" w:hAnsi="Times New Roman" w:cs="Times New Roman"/>
                <w:b/>
                <w:bCs/>
              </w:rPr>
              <w:t>poplatok za rozvoj (bez BA, KE)</w:t>
            </w:r>
          </w:p>
        </w:tc>
        <w:tc>
          <w:tcPr>
            <w:tcW w:w="4531" w:type="dxa"/>
            <w:tcBorders>
              <w:left w:val="single" w:sz="4" w:space="0" w:color="FFFFFF"/>
              <w:right w:val="single" w:sz="4" w:space="0" w:color="FFFFFF"/>
            </w:tcBorders>
            <w:shd w:val="clear" w:color="auto" w:fill="auto"/>
          </w:tcPr>
          <w:p w14:paraId="30F95471" w14:textId="77777777" w:rsidR="00A45592" w:rsidRPr="00EF718C" w:rsidRDefault="00A45592" w:rsidP="00F151BC">
            <w:pPr>
              <w:spacing w:beforeLines="20" w:before="48" w:afterLines="40" w:after="96" w:line="240" w:lineRule="auto"/>
              <w:rPr>
                <w:rFonts w:ascii="Times New Roman" w:eastAsia="Aptos" w:hAnsi="Times New Roman" w:cs="Times New Roman"/>
                <w:b/>
                <w:bCs/>
              </w:rPr>
            </w:pPr>
            <w:r w:rsidRPr="00EF718C">
              <w:rPr>
                <w:rFonts w:ascii="Times New Roman" w:eastAsia="Aptos" w:hAnsi="Times New Roman" w:cs="Times New Roman"/>
                <w:b/>
                <w:bCs/>
              </w:rPr>
              <w:t xml:space="preserve">Graf 2: Vývoj počtu obcí, ktoré vyberali </w:t>
            </w:r>
            <w:r>
              <w:rPr>
                <w:rFonts w:ascii="Times New Roman" w:eastAsia="Aptos" w:hAnsi="Times New Roman" w:cs="Times New Roman"/>
                <w:b/>
                <w:bCs/>
              </w:rPr>
              <w:t xml:space="preserve">miestny </w:t>
            </w:r>
            <w:r w:rsidRPr="00EF718C">
              <w:rPr>
                <w:rFonts w:ascii="Times New Roman" w:eastAsia="Aptos" w:hAnsi="Times New Roman" w:cs="Times New Roman"/>
                <w:b/>
                <w:bCs/>
              </w:rPr>
              <w:t>poplatok za rozvoj</w:t>
            </w:r>
          </w:p>
        </w:tc>
      </w:tr>
      <w:tr w:rsidR="00A45592" w:rsidRPr="00EF718C" w14:paraId="29E05C05" w14:textId="77777777" w:rsidTr="00F151BC">
        <w:tc>
          <w:tcPr>
            <w:tcW w:w="4531" w:type="dxa"/>
            <w:tcBorders>
              <w:left w:val="single" w:sz="4" w:space="0" w:color="FFFFFF"/>
              <w:right w:val="single" w:sz="4" w:space="0" w:color="FFFFFF"/>
            </w:tcBorders>
            <w:shd w:val="clear" w:color="auto" w:fill="auto"/>
          </w:tcPr>
          <w:p w14:paraId="11B16CF0" w14:textId="77777777" w:rsidR="00A45592" w:rsidRPr="00EF718C" w:rsidRDefault="00A45592" w:rsidP="00F151BC">
            <w:pPr>
              <w:spacing w:beforeLines="20" w:before="48" w:afterLines="40" w:after="96" w:line="240" w:lineRule="auto"/>
              <w:rPr>
                <w:rFonts w:ascii="Times New Roman" w:eastAsia="Aptos" w:hAnsi="Times New Roman" w:cs="Times New Roman"/>
              </w:rPr>
            </w:pPr>
            <w:r w:rsidRPr="00EF718C">
              <w:rPr>
                <w:rFonts w:ascii="Times New Roman" w:hAnsi="Times New Roman" w:cs="Times New Roman"/>
                <w:noProof/>
                <w:lang w:eastAsia="sk-SK"/>
              </w:rPr>
              <w:drawing>
                <wp:anchor distT="0" distB="3429" distL="114300" distR="117475" simplePos="0" relativeHeight="251659264" behindDoc="0" locked="0" layoutInCell="1" allowOverlap="1" wp14:anchorId="6995DCE9" wp14:editId="3548CF48">
                  <wp:simplePos x="0" y="0"/>
                  <wp:positionH relativeFrom="column">
                    <wp:posOffset>-6350</wp:posOffset>
                  </wp:positionH>
                  <wp:positionV relativeFrom="paragraph">
                    <wp:posOffset>182880</wp:posOffset>
                  </wp:positionV>
                  <wp:extent cx="2879725" cy="2308860"/>
                  <wp:effectExtent l="0" t="0" r="0" b="0"/>
                  <wp:wrapSquare wrapText="bothSides"/>
                  <wp:docPr id="3"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margin">
                    <wp14:pctWidth>0</wp14:pctWidth>
                  </wp14:sizeRelH>
                  <wp14:sizeRelV relativeFrom="page">
                    <wp14:pctHeight>0</wp14:pctHeight>
                  </wp14:sizeRelV>
                </wp:anchor>
              </w:drawing>
            </w:r>
          </w:p>
        </w:tc>
        <w:tc>
          <w:tcPr>
            <w:tcW w:w="4531" w:type="dxa"/>
            <w:tcBorders>
              <w:left w:val="single" w:sz="4" w:space="0" w:color="FFFFFF"/>
              <w:right w:val="single" w:sz="4" w:space="0" w:color="FFFFFF"/>
            </w:tcBorders>
            <w:shd w:val="clear" w:color="auto" w:fill="auto"/>
          </w:tcPr>
          <w:p w14:paraId="5EACE52A" w14:textId="77777777" w:rsidR="00A45592" w:rsidRPr="00EF718C" w:rsidRDefault="00A45592" w:rsidP="00F151BC">
            <w:pPr>
              <w:spacing w:beforeLines="20" w:before="48" w:afterLines="40" w:after="96" w:line="240" w:lineRule="auto"/>
              <w:rPr>
                <w:rFonts w:ascii="Times New Roman" w:eastAsia="Aptos" w:hAnsi="Times New Roman" w:cs="Times New Roman"/>
              </w:rPr>
            </w:pPr>
            <w:r w:rsidRPr="00EF718C">
              <w:rPr>
                <w:rFonts w:ascii="Times New Roman" w:hAnsi="Times New Roman" w:cs="Times New Roman"/>
                <w:noProof/>
                <w:lang w:eastAsia="sk-SK"/>
              </w:rPr>
              <w:drawing>
                <wp:anchor distT="0" distB="3429" distL="114300" distR="117475" simplePos="0" relativeHeight="251660288" behindDoc="0" locked="0" layoutInCell="1" allowOverlap="1" wp14:anchorId="4544C191" wp14:editId="79C2AB4B">
                  <wp:simplePos x="0" y="0"/>
                  <wp:positionH relativeFrom="column">
                    <wp:posOffset>-65405</wp:posOffset>
                  </wp:positionH>
                  <wp:positionV relativeFrom="paragraph">
                    <wp:posOffset>182880</wp:posOffset>
                  </wp:positionV>
                  <wp:extent cx="2879725" cy="2308860"/>
                  <wp:effectExtent l="0" t="0" r="0" b="0"/>
                  <wp:wrapSquare wrapText="bothSides"/>
                  <wp:docPr id="2"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page">
                    <wp14:pctHeight>0</wp14:pctHeight>
                  </wp14:sizeRelV>
                </wp:anchor>
              </w:drawing>
            </w:r>
          </w:p>
        </w:tc>
      </w:tr>
    </w:tbl>
    <w:p w14:paraId="1F36E48A" w14:textId="77777777" w:rsidR="00A45592" w:rsidRDefault="00A45592" w:rsidP="00A45592">
      <w:pPr>
        <w:spacing w:beforeLines="20" w:before="48" w:afterLines="40" w:after="96" w:line="240" w:lineRule="auto"/>
        <w:jc w:val="right"/>
        <w:rPr>
          <w:rFonts w:ascii="Times New Roman" w:hAnsi="Times New Roman" w:cs="Times New Roman"/>
        </w:rPr>
      </w:pPr>
      <w:r w:rsidRPr="00EF718C">
        <w:rPr>
          <w:rFonts w:ascii="Times New Roman" w:hAnsi="Times New Roman" w:cs="Times New Roman"/>
        </w:rPr>
        <w:t xml:space="preserve">Zdroj: </w:t>
      </w:r>
      <w:r>
        <w:rPr>
          <w:rFonts w:ascii="Times New Roman" w:hAnsi="Times New Roman" w:cs="Times New Roman"/>
        </w:rPr>
        <w:t>S</w:t>
      </w:r>
      <w:r w:rsidRPr="00EF718C">
        <w:rPr>
          <w:rFonts w:ascii="Times New Roman" w:hAnsi="Times New Roman" w:cs="Times New Roman"/>
        </w:rPr>
        <w:t xml:space="preserve">pracovanie </w:t>
      </w:r>
      <w:r>
        <w:rPr>
          <w:rFonts w:ascii="Times New Roman" w:hAnsi="Times New Roman" w:cs="Times New Roman"/>
        </w:rPr>
        <w:t xml:space="preserve">IDRP MIRRI SR </w:t>
      </w:r>
      <w:r w:rsidRPr="00EF718C">
        <w:rPr>
          <w:rFonts w:ascii="Times New Roman" w:hAnsi="Times New Roman" w:cs="Times New Roman"/>
        </w:rPr>
        <w:t>na základe dát Datacentra</w:t>
      </w:r>
    </w:p>
    <w:p w14:paraId="17EA48DE" w14:textId="77777777" w:rsidR="00A45592" w:rsidRPr="00EF718C" w:rsidRDefault="00A45592" w:rsidP="00A45592">
      <w:pPr>
        <w:spacing w:beforeLines="20" w:before="48" w:afterLines="40" w:after="96" w:line="240" w:lineRule="auto"/>
        <w:jc w:val="righ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45592" w:rsidRPr="00EF718C" w14:paraId="46611E42" w14:textId="77777777" w:rsidTr="00F151BC">
        <w:tc>
          <w:tcPr>
            <w:tcW w:w="9062" w:type="dxa"/>
            <w:tcBorders>
              <w:left w:val="single" w:sz="4" w:space="0" w:color="FFFFFF"/>
              <w:right w:val="single" w:sz="4" w:space="0" w:color="FFFFFF"/>
            </w:tcBorders>
            <w:shd w:val="clear" w:color="auto" w:fill="auto"/>
          </w:tcPr>
          <w:p w14:paraId="11FA321C" w14:textId="77777777" w:rsidR="00A45592" w:rsidRPr="00EF718C" w:rsidRDefault="00A45592" w:rsidP="00F151BC">
            <w:pPr>
              <w:spacing w:beforeLines="20" w:before="48" w:afterLines="40" w:after="96" w:line="240" w:lineRule="auto"/>
              <w:rPr>
                <w:rFonts w:ascii="Times New Roman" w:eastAsia="Aptos" w:hAnsi="Times New Roman" w:cs="Times New Roman"/>
                <w:b/>
                <w:bCs/>
              </w:rPr>
            </w:pPr>
            <w:r w:rsidRPr="00EF718C">
              <w:rPr>
                <w:rFonts w:ascii="Times New Roman" w:eastAsia="Aptos" w:hAnsi="Times New Roman" w:cs="Times New Roman"/>
                <w:b/>
                <w:bCs/>
              </w:rPr>
              <w:t xml:space="preserve">Graf 3: Vývoj počtu mestských častí BA, KE, ktoré vyberali </w:t>
            </w:r>
            <w:r>
              <w:rPr>
                <w:rFonts w:ascii="Times New Roman" w:eastAsia="Aptos" w:hAnsi="Times New Roman" w:cs="Times New Roman"/>
                <w:b/>
                <w:bCs/>
              </w:rPr>
              <w:t xml:space="preserve">miestny </w:t>
            </w:r>
            <w:r w:rsidRPr="00EF718C">
              <w:rPr>
                <w:rFonts w:ascii="Times New Roman" w:eastAsia="Aptos" w:hAnsi="Times New Roman" w:cs="Times New Roman"/>
                <w:b/>
                <w:bCs/>
              </w:rPr>
              <w:t xml:space="preserve">poplatok za rozvoj </w:t>
            </w:r>
            <w:r w:rsidRPr="00EF718C">
              <w:rPr>
                <w:rFonts w:ascii="Times New Roman" w:eastAsia="Aptos" w:hAnsi="Times New Roman" w:cs="Times New Roman"/>
                <w:b/>
                <w:bCs/>
                <w:noProof/>
              </w:rPr>
              <w:t xml:space="preserve"> </w:t>
            </w:r>
          </w:p>
        </w:tc>
      </w:tr>
      <w:tr w:rsidR="00A45592" w:rsidRPr="00EF718C" w14:paraId="3B3F5162" w14:textId="77777777" w:rsidTr="00F151BC">
        <w:tc>
          <w:tcPr>
            <w:tcW w:w="9062" w:type="dxa"/>
            <w:tcBorders>
              <w:left w:val="single" w:sz="4" w:space="0" w:color="FFFFFF"/>
              <w:right w:val="single" w:sz="4" w:space="0" w:color="FFFFFF"/>
            </w:tcBorders>
            <w:shd w:val="clear" w:color="auto" w:fill="auto"/>
          </w:tcPr>
          <w:p w14:paraId="16D2ABC3" w14:textId="77777777" w:rsidR="00A45592" w:rsidRPr="00EF718C" w:rsidRDefault="00A45592" w:rsidP="00F151BC">
            <w:pPr>
              <w:spacing w:beforeLines="20" w:before="48" w:afterLines="40" w:after="96" w:line="240" w:lineRule="auto"/>
              <w:rPr>
                <w:rFonts w:ascii="Times New Roman" w:eastAsia="Aptos" w:hAnsi="Times New Roman" w:cs="Times New Roman"/>
              </w:rPr>
            </w:pPr>
            <w:r w:rsidRPr="00EF718C">
              <w:rPr>
                <w:rFonts w:ascii="Times New Roman" w:eastAsia="Aptos" w:hAnsi="Times New Roman" w:cs="Times New Roman"/>
                <w:noProof/>
                <w:lang w:eastAsia="sk-SK"/>
              </w:rPr>
              <w:drawing>
                <wp:inline distT="0" distB="0" distL="0" distR="0" wp14:anchorId="3C32515C" wp14:editId="71680CA9">
                  <wp:extent cx="5590540" cy="1602105"/>
                  <wp:effectExtent l="0" t="0" r="0" b="0"/>
                  <wp:docPr id="1"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B140CE4" w14:textId="77777777" w:rsidR="00A45592" w:rsidRPr="00EF718C" w:rsidRDefault="00A45592" w:rsidP="00F151BC">
            <w:pPr>
              <w:spacing w:beforeLines="20" w:before="48" w:afterLines="40" w:after="96" w:line="240" w:lineRule="auto"/>
              <w:rPr>
                <w:rFonts w:ascii="Times New Roman" w:eastAsia="Aptos" w:hAnsi="Times New Roman" w:cs="Times New Roman"/>
              </w:rPr>
            </w:pPr>
          </w:p>
        </w:tc>
      </w:tr>
    </w:tbl>
    <w:p w14:paraId="0721EC2E" w14:textId="77777777" w:rsidR="00A45592" w:rsidRPr="00EF718C" w:rsidRDefault="00A45592" w:rsidP="00A45592">
      <w:pPr>
        <w:spacing w:beforeLines="20" w:before="48" w:afterLines="40" w:after="96" w:line="240" w:lineRule="auto"/>
        <w:jc w:val="both"/>
        <w:rPr>
          <w:rFonts w:ascii="Times New Roman" w:hAnsi="Times New Roman" w:cs="Times New Roman"/>
        </w:rPr>
      </w:pPr>
    </w:p>
    <w:p w14:paraId="3B6E5071" w14:textId="77777777" w:rsidR="00A45592" w:rsidRPr="00F106BC" w:rsidRDefault="00A45592" w:rsidP="00A45592">
      <w:pPr>
        <w:spacing w:beforeLines="20" w:before="48" w:afterLines="40" w:after="96" w:line="240" w:lineRule="auto"/>
        <w:jc w:val="both"/>
        <w:rPr>
          <w:rFonts w:ascii="Times New Roman" w:hAnsi="Times New Roman" w:cs="Times New Roman"/>
          <w:sz w:val="24"/>
          <w:szCs w:val="24"/>
        </w:rPr>
      </w:pPr>
      <w:r w:rsidRPr="00F106BC">
        <w:rPr>
          <w:rFonts w:ascii="Times New Roman" w:hAnsi="Times New Roman" w:cs="Times New Roman"/>
          <w:sz w:val="24"/>
          <w:szCs w:val="24"/>
        </w:rPr>
        <w:t xml:space="preserve">Na základe uvedeného je vhodné rozšíriť možnosti využitia výnosu z poplatku za rozvoj na oblasti ďalšieho rozvoja územia, ktorý zvyšuje ďalší investičný a rozvojový potenciál samospráv, prípadne na aktualizáciu a tvorbu strategických dokumentov vrátane územných plánov. Rozšírenie možností využitia poplatku za rozvoj, za zaťaženie územia investičnou </w:t>
      </w:r>
      <w:r w:rsidRPr="00F106BC">
        <w:rPr>
          <w:rFonts w:ascii="Times New Roman" w:hAnsi="Times New Roman" w:cs="Times New Roman"/>
          <w:sz w:val="24"/>
          <w:szCs w:val="24"/>
        </w:rPr>
        <w:lastRenderedPageBreak/>
        <w:t xml:space="preserve">aktivitou o ďalšie oblasti mimo kapitálových výdavkov nebude mať negatívne dopady na ekonomiku samospráv, ale zabezpečí pozitívne dopady pre koordinovaný rozvoj územia. </w:t>
      </w:r>
    </w:p>
    <w:p w14:paraId="1210CD94" w14:textId="77777777" w:rsidR="00A45592" w:rsidRDefault="00A45592" w:rsidP="00A45592">
      <w:pPr>
        <w:spacing w:beforeLines="20" w:before="48" w:afterLines="40" w:after="96" w:line="240" w:lineRule="auto"/>
        <w:jc w:val="both"/>
        <w:rPr>
          <w:rFonts w:ascii="Times New Roman" w:hAnsi="Times New Roman" w:cs="Times New Roman"/>
          <w:sz w:val="24"/>
          <w:szCs w:val="24"/>
        </w:rPr>
      </w:pPr>
      <w:r w:rsidRPr="00F106BC">
        <w:rPr>
          <w:rFonts w:ascii="Times New Roman" w:hAnsi="Times New Roman" w:cs="Times New Roman"/>
          <w:sz w:val="24"/>
          <w:szCs w:val="24"/>
        </w:rPr>
        <w:tab/>
        <w:t xml:space="preserve">Návrh zákona sa týka dvoch zásadných oblastí úprav. Prvou je zvýšenie hornej hranice sadzby poplatku za rozvoj a druhou je rozšírenie možností využitia výnosu z poplatku na rozvoj na okruh ďalších vymedzených oprávnených výdavkov. Návrh zákona korešponduje s Programovým vyhlásením vlády v gescii Ministerstva investícií, regionálneho rozvoja a informatizácie Slovenskej republiky: </w:t>
      </w:r>
      <w:r w:rsidRPr="00F106BC">
        <w:rPr>
          <w:rFonts w:ascii="Times New Roman" w:hAnsi="Times New Roman" w:cs="Times New Roman"/>
          <w:i/>
          <w:iCs/>
          <w:sz w:val="24"/>
          <w:szCs w:val="24"/>
        </w:rPr>
        <w:t>„Vláda zavedie mechanizmy udržateľného alternatívneho financovania municipálneho rozvoja mimo zdrojov zo štátneho rozpočtu, eurofondov a Plánu obnovy a odolnosti Slovenskej republiky.“</w:t>
      </w:r>
      <w:r w:rsidRPr="00F106BC">
        <w:rPr>
          <w:rFonts w:ascii="Times New Roman" w:hAnsi="Times New Roman" w:cs="Times New Roman"/>
          <w:sz w:val="24"/>
          <w:szCs w:val="24"/>
        </w:rPr>
        <w:t xml:space="preserve">. </w:t>
      </w:r>
    </w:p>
    <w:p w14:paraId="29AB6808" w14:textId="77777777" w:rsidR="00A45592" w:rsidRDefault="00A45592" w:rsidP="00A45592">
      <w:pPr>
        <w:spacing w:beforeLines="20" w:before="48" w:afterLines="40" w:after="96" w:line="240" w:lineRule="auto"/>
        <w:jc w:val="both"/>
        <w:rPr>
          <w:rFonts w:ascii="Times New Roman" w:hAnsi="Times New Roman" w:cs="Times New Roman"/>
          <w:sz w:val="24"/>
          <w:szCs w:val="24"/>
        </w:rPr>
      </w:pPr>
      <w:r>
        <w:rPr>
          <w:rFonts w:ascii="Times New Roman" w:hAnsi="Times New Roman" w:cs="Times New Roman"/>
          <w:sz w:val="24"/>
          <w:szCs w:val="24"/>
        </w:rPr>
        <w:tab/>
        <w:t>Navrhuje sa z</w:t>
      </w:r>
      <w:r w:rsidRPr="00F106BC">
        <w:rPr>
          <w:rFonts w:ascii="Times New Roman" w:hAnsi="Times New Roman" w:cs="Times New Roman"/>
          <w:sz w:val="24"/>
          <w:szCs w:val="24"/>
        </w:rPr>
        <w:t>v</w:t>
      </w:r>
      <w:r>
        <w:rPr>
          <w:rFonts w:ascii="Times New Roman" w:hAnsi="Times New Roman" w:cs="Times New Roman"/>
          <w:sz w:val="24"/>
          <w:szCs w:val="24"/>
        </w:rPr>
        <w:t>ý</w:t>
      </w:r>
      <w:r w:rsidRPr="00F106BC">
        <w:rPr>
          <w:rFonts w:ascii="Times New Roman" w:hAnsi="Times New Roman" w:cs="Times New Roman"/>
          <w:sz w:val="24"/>
          <w:szCs w:val="24"/>
        </w:rPr>
        <w:t>š</w:t>
      </w:r>
      <w:r>
        <w:rPr>
          <w:rFonts w:ascii="Times New Roman" w:hAnsi="Times New Roman" w:cs="Times New Roman"/>
          <w:sz w:val="24"/>
          <w:szCs w:val="24"/>
        </w:rPr>
        <w:t>iť</w:t>
      </w:r>
      <w:r w:rsidRPr="00F106BC">
        <w:rPr>
          <w:rFonts w:ascii="Times New Roman" w:hAnsi="Times New Roman" w:cs="Times New Roman"/>
          <w:sz w:val="24"/>
          <w:szCs w:val="24"/>
        </w:rPr>
        <w:t xml:space="preserve"> horn</w:t>
      </w:r>
      <w:r>
        <w:rPr>
          <w:rFonts w:ascii="Times New Roman" w:hAnsi="Times New Roman" w:cs="Times New Roman"/>
          <w:sz w:val="24"/>
          <w:szCs w:val="24"/>
        </w:rPr>
        <w:t>ú</w:t>
      </w:r>
      <w:r w:rsidRPr="00F106BC">
        <w:rPr>
          <w:rFonts w:ascii="Times New Roman" w:hAnsi="Times New Roman" w:cs="Times New Roman"/>
          <w:sz w:val="24"/>
          <w:szCs w:val="24"/>
        </w:rPr>
        <w:t xml:space="preserve"> hranic</w:t>
      </w:r>
      <w:r>
        <w:rPr>
          <w:rFonts w:ascii="Times New Roman" w:hAnsi="Times New Roman" w:cs="Times New Roman"/>
          <w:sz w:val="24"/>
          <w:szCs w:val="24"/>
        </w:rPr>
        <w:t>u</w:t>
      </w:r>
      <w:r w:rsidRPr="00F106BC">
        <w:rPr>
          <w:rFonts w:ascii="Times New Roman" w:hAnsi="Times New Roman" w:cs="Times New Roman"/>
          <w:sz w:val="24"/>
          <w:szCs w:val="24"/>
        </w:rPr>
        <w:t xml:space="preserve"> sadzby miestneho poplatku za rozvoj </w:t>
      </w:r>
      <w:r>
        <w:rPr>
          <w:rFonts w:ascii="Times New Roman" w:hAnsi="Times New Roman" w:cs="Times New Roman"/>
          <w:sz w:val="24"/>
          <w:szCs w:val="24"/>
        </w:rPr>
        <w:t>na základe v</w:t>
      </w:r>
      <w:r w:rsidRPr="00C04A92">
        <w:rPr>
          <w:rFonts w:ascii="Times New Roman" w:hAnsi="Times New Roman" w:cs="Times New Roman"/>
          <w:sz w:val="24"/>
          <w:szCs w:val="24"/>
        </w:rPr>
        <w:t>ývoj</w:t>
      </w:r>
      <w:r>
        <w:rPr>
          <w:rFonts w:ascii="Times New Roman" w:hAnsi="Times New Roman" w:cs="Times New Roman"/>
          <w:sz w:val="24"/>
          <w:szCs w:val="24"/>
        </w:rPr>
        <w:t>a</w:t>
      </w:r>
      <w:r w:rsidRPr="00C04A92">
        <w:rPr>
          <w:rFonts w:ascii="Times New Roman" w:hAnsi="Times New Roman" w:cs="Times New Roman"/>
          <w:sz w:val="24"/>
          <w:szCs w:val="24"/>
        </w:rPr>
        <w:t xml:space="preserve"> cien stavebných prác, stavených materiálov a stavebných pozemkov za roky 2018 až 2023</w:t>
      </w:r>
      <w:r>
        <w:rPr>
          <w:rFonts w:ascii="Times New Roman" w:hAnsi="Times New Roman" w:cs="Times New Roman"/>
          <w:sz w:val="24"/>
          <w:szCs w:val="24"/>
        </w:rPr>
        <w:t>:</w:t>
      </w:r>
    </w:p>
    <w:tbl>
      <w:tblPr>
        <w:tblW w:w="8162" w:type="dxa"/>
        <w:tblInd w:w="567" w:type="dxa"/>
        <w:tblBorders>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84"/>
        <w:gridCol w:w="863"/>
        <w:gridCol w:w="863"/>
        <w:gridCol w:w="863"/>
        <w:gridCol w:w="863"/>
        <w:gridCol w:w="863"/>
        <w:gridCol w:w="863"/>
      </w:tblGrid>
      <w:tr w:rsidR="00A45592" w:rsidRPr="006C4682" w14:paraId="1B460038" w14:textId="77777777" w:rsidTr="00F151BC">
        <w:trPr>
          <w:trHeight w:val="325"/>
        </w:trPr>
        <w:tc>
          <w:tcPr>
            <w:tcW w:w="2984" w:type="dxa"/>
            <w:shd w:val="clear" w:color="auto" w:fill="auto"/>
            <w:noWrap/>
            <w:vAlign w:val="center"/>
            <w:hideMark/>
          </w:tcPr>
          <w:p w14:paraId="2FC2B667" w14:textId="77777777" w:rsidR="00A45592" w:rsidRPr="00C04A92" w:rsidRDefault="00A45592" w:rsidP="00F151BC">
            <w:pPr>
              <w:spacing w:after="0" w:line="240" w:lineRule="auto"/>
              <w:jc w:val="center"/>
              <w:rPr>
                <w:rFonts w:ascii="Times New Roman" w:eastAsia="Times New Roman" w:hAnsi="Times New Roman" w:cs="Times New Roman"/>
                <w:color w:val="000000"/>
                <w:sz w:val="24"/>
                <w:szCs w:val="24"/>
                <w:lang w:eastAsia="sk-SK"/>
              </w:rPr>
            </w:pPr>
            <w:r w:rsidRPr="00C04A92">
              <w:rPr>
                <w:rFonts w:ascii="Times New Roman" w:eastAsia="Times New Roman" w:hAnsi="Times New Roman" w:cs="Times New Roman"/>
                <w:color w:val="000000"/>
                <w:sz w:val="24"/>
                <w:szCs w:val="24"/>
                <w:lang w:eastAsia="sk-SK"/>
              </w:rPr>
              <w:t>rok</w:t>
            </w:r>
          </w:p>
        </w:tc>
        <w:tc>
          <w:tcPr>
            <w:tcW w:w="863" w:type="dxa"/>
            <w:shd w:val="clear" w:color="auto" w:fill="auto"/>
            <w:noWrap/>
            <w:vAlign w:val="center"/>
            <w:hideMark/>
          </w:tcPr>
          <w:p w14:paraId="5BDC496F" w14:textId="77777777" w:rsidR="00A45592" w:rsidRPr="00C04A92" w:rsidRDefault="00A45592" w:rsidP="00F151BC">
            <w:pPr>
              <w:spacing w:after="0" w:line="240" w:lineRule="auto"/>
              <w:jc w:val="center"/>
              <w:rPr>
                <w:rFonts w:ascii="Times New Roman" w:eastAsia="Times New Roman" w:hAnsi="Times New Roman" w:cs="Times New Roman"/>
                <w:color w:val="000000"/>
                <w:sz w:val="24"/>
                <w:szCs w:val="24"/>
                <w:lang w:eastAsia="sk-SK"/>
              </w:rPr>
            </w:pPr>
            <w:r w:rsidRPr="00C04A92">
              <w:rPr>
                <w:rFonts w:ascii="Times New Roman" w:eastAsia="Times New Roman" w:hAnsi="Times New Roman" w:cs="Times New Roman"/>
                <w:color w:val="000000"/>
                <w:sz w:val="24"/>
                <w:szCs w:val="24"/>
                <w:lang w:eastAsia="sk-SK"/>
              </w:rPr>
              <w:t>rok 2018</w:t>
            </w:r>
          </w:p>
        </w:tc>
        <w:tc>
          <w:tcPr>
            <w:tcW w:w="863" w:type="dxa"/>
            <w:shd w:val="clear" w:color="auto" w:fill="auto"/>
            <w:noWrap/>
            <w:vAlign w:val="center"/>
            <w:hideMark/>
          </w:tcPr>
          <w:p w14:paraId="2CFA141F" w14:textId="77777777" w:rsidR="00A45592" w:rsidRPr="00C04A92" w:rsidRDefault="00A45592" w:rsidP="00F151BC">
            <w:pPr>
              <w:spacing w:after="0" w:line="240" w:lineRule="auto"/>
              <w:jc w:val="center"/>
              <w:rPr>
                <w:rFonts w:ascii="Times New Roman" w:eastAsia="Times New Roman" w:hAnsi="Times New Roman" w:cs="Times New Roman"/>
                <w:color w:val="000000"/>
                <w:sz w:val="24"/>
                <w:szCs w:val="24"/>
                <w:lang w:eastAsia="sk-SK"/>
              </w:rPr>
            </w:pPr>
            <w:r w:rsidRPr="00C04A92">
              <w:rPr>
                <w:rFonts w:ascii="Times New Roman" w:eastAsia="Times New Roman" w:hAnsi="Times New Roman" w:cs="Times New Roman"/>
                <w:color w:val="000000"/>
                <w:sz w:val="24"/>
                <w:szCs w:val="24"/>
                <w:lang w:eastAsia="sk-SK"/>
              </w:rPr>
              <w:t>rok 2019</w:t>
            </w:r>
          </w:p>
        </w:tc>
        <w:tc>
          <w:tcPr>
            <w:tcW w:w="863" w:type="dxa"/>
            <w:shd w:val="clear" w:color="auto" w:fill="auto"/>
            <w:noWrap/>
            <w:vAlign w:val="center"/>
            <w:hideMark/>
          </w:tcPr>
          <w:p w14:paraId="10E2B937" w14:textId="77777777" w:rsidR="00A45592" w:rsidRPr="00C04A92" w:rsidRDefault="00A45592" w:rsidP="00F151BC">
            <w:pPr>
              <w:spacing w:after="0" w:line="240" w:lineRule="auto"/>
              <w:jc w:val="center"/>
              <w:rPr>
                <w:rFonts w:ascii="Times New Roman" w:eastAsia="Times New Roman" w:hAnsi="Times New Roman" w:cs="Times New Roman"/>
                <w:color w:val="000000"/>
                <w:sz w:val="24"/>
                <w:szCs w:val="24"/>
                <w:lang w:eastAsia="sk-SK"/>
              </w:rPr>
            </w:pPr>
            <w:r w:rsidRPr="00C04A92">
              <w:rPr>
                <w:rFonts w:ascii="Times New Roman" w:eastAsia="Times New Roman" w:hAnsi="Times New Roman" w:cs="Times New Roman"/>
                <w:color w:val="000000"/>
                <w:sz w:val="24"/>
                <w:szCs w:val="24"/>
                <w:lang w:eastAsia="sk-SK"/>
              </w:rPr>
              <w:t>rok 2020</w:t>
            </w:r>
          </w:p>
        </w:tc>
        <w:tc>
          <w:tcPr>
            <w:tcW w:w="863" w:type="dxa"/>
            <w:shd w:val="clear" w:color="auto" w:fill="auto"/>
            <w:noWrap/>
            <w:vAlign w:val="center"/>
            <w:hideMark/>
          </w:tcPr>
          <w:p w14:paraId="64E81F30" w14:textId="77777777" w:rsidR="00A45592" w:rsidRPr="00C04A92" w:rsidRDefault="00A45592" w:rsidP="00F151BC">
            <w:pPr>
              <w:spacing w:after="0" w:line="240" w:lineRule="auto"/>
              <w:jc w:val="center"/>
              <w:rPr>
                <w:rFonts w:ascii="Times New Roman" w:eastAsia="Times New Roman" w:hAnsi="Times New Roman" w:cs="Times New Roman"/>
                <w:color w:val="000000"/>
                <w:sz w:val="24"/>
                <w:szCs w:val="24"/>
                <w:lang w:eastAsia="sk-SK"/>
              </w:rPr>
            </w:pPr>
            <w:r w:rsidRPr="00C04A92">
              <w:rPr>
                <w:rFonts w:ascii="Times New Roman" w:eastAsia="Times New Roman" w:hAnsi="Times New Roman" w:cs="Times New Roman"/>
                <w:color w:val="000000"/>
                <w:sz w:val="24"/>
                <w:szCs w:val="24"/>
                <w:lang w:eastAsia="sk-SK"/>
              </w:rPr>
              <w:t>rok 2021</w:t>
            </w:r>
          </w:p>
        </w:tc>
        <w:tc>
          <w:tcPr>
            <w:tcW w:w="863" w:type="dxa"/>
            <w:shd w:val="clear" w:color="auto" w:fill="auto"/>
            <w:noWrap/>
            <w:vAlign w:val="center"/>
            <w:hideMark/>
          </w:tcPr>
          <w:p w14:paraId="380154B9" w14:textId="77777777" w:rsidR="00A45592" w:rsidRPr="00C04A92" w:rsidRDefault="00A45592" w:rsidP="00F151BC">
            <w:pPr>
              <w:spacing w:after="0" w:line="240" w:lineRule="auto"/>
              <w:jc w:val="center"/>
              <w:rPr>
                <w:rFonts w:ascii="Times New Roman" w:eastAsia="Times New Roman" w:hAnsi="Times New Roman" w:cs="Times New Roman"/>
                <w:color w:val="000000"/>
                <w:sz w:val="24"/>
                <w:szCs w:val="24"/>
                <w:lang w:eastAsia="sk-SK"/>
              </w:rPr>
            </w:pPr>
            <w:r w:rsidRPr="00C04A92">
              <w:rPr>
                <w:rFonts w:ascii="Times New Roman" w:eastAsia="Times New Roman" w:hAnsi="Times New Roman" w:cs="Times New Roman"/>
                <w:color w:val="000000"/>
                <w:sz w:val="24"/>
                <w:szCs w:val="24"/>
                <w:lang w:eastAsia="sk-SK"/>
              </w:rPr>
              <w:t>rok 2022</w:t>
            </w:r>
          </w:p>
        </w:tc>
        <w:tc>
          <w:tcPr>
            <w:tcW w:w="863" w:type="dxa"/>
            <w:shd w:val="clear" w:color="auto" w:fill="auto"/>
            <w:noWrap/>
            <w:vAlign w:val="center"/>
            <w:hideMark/>
          </w:tcPr>
          <w:p w14:paraId="261C0058" w14:textId="77777777" w:rsidR="00A45592" w:rsidRPr="00C04A92" w:rsidRDefault="00A45592" w:rsidP="00F151BC">
            <w:pPr>
              <w:spacing w:after="0" w:line="240" w:lineRule="auto"/>
              <w:jc w:val="center"/>
              <w:rPr>
                <w:rFonts w:ascii="Times New Roman" w:eastAsia="Times New Roman" w:hAnsi="Times New Roman" w:cs="Times New Roman"/>
                <w:color w:val="000000"/>
                <w:sz w:val="24"/>
                <w:szCs w:val="24"/>
                <w:lang w:eastAsia="sk-SK"/>
              </w:rPr>
            </w:pPr>
            <w:r w:rsidRPr="00C04A92">
              <w:rPr>
                <w:rFonts w:ascii="Times New Roman" w:eastAsia="Times New Roman" w:hAnsi="Times New Roman" w:cs="Times New Roman"/>
                <w:color w:val="000000"/>
                <w:sz w:val="24"/>
                <w:szCs w:val="24"/>
                <w:lang w:eastAsia="sk-SK"/>
              </w:rPr>
              <w:t>rok 2023</w:t>
            </w:r>
          </w:p>
        </w:tc>
      </w:tr>
      <w:tr w:rsidR="00A45592" w:rsidRPr="006C4682" w14:paraId="78E1B17C" w14:textId="77777777" w:rsidTr="00F151BC">
        <w:trPr>
          <w:trHeight w:val="325"/>
        </w:trPr>
        <w:tc>
          <w:tcPr>
            <w:tcW w:w="2984" w:type="dxa"/>
            <w:shd w:val="clear" w:color="auto" w:fill="auto"/>
            <w:noWrap/>
            <w:vAlign w:val="center"/>
            <w:hideMark/>
          </w:tcPr>
          <w:p w14:paraId="67832C6C" w14:textId="77777777" w:rsidR="00A45592" w:rsidRPr="00C04A92" w:rsidRDefault="00A45592" w:rsidP="00F151BC">
            <w:pPr>
              <w:spacing w:after="0" w:line="240" w:lineRule="auto"/>
              <w:jc w:val="center"/>
              <w:rPr>
                <w:rFonts w:ascii="Times New Roman" w:eastAsia="Times New Roman" w:hAnsi="Times New Roman" w:cs="Times New Roman"/>
                <w:color w:val="000000"/>
                <w:sz w:val="24"/>
                <w:szCs w:val="24"/>
                <w:lang w:eastAsia="sk-SK"/>
              </w:rPr>
            </w:pPr>
            <w:r w:rsidRPr="00C04A92">
              <w:rPr>
                <w:rFonts w:ascii="Times New Roman" w:eastAsia="Times New Roman" w:hAnsi="Times New Roman" w:cs="Times New Roman"/>
                <w:color w:val="000000"/>
                <w:sz w:val="24"/>
                <w:szCs w:val="24"/>
                <w:lang w:eastAsia="sk-SK"/>
              </w:rPr>
              <w:t>Indexy cien stavebných prác</w:t>
            </w:r>
          </w:p>
        </w:tc>
        <w:tc>
          <w:tcPr>
            <w:tcW w:w="863" w:type="dxa"/>
            <w:shd w:val="clear" w:color="auto" w:fill="auto"/>
            <w:noWrap/>
            <w:vAlign w:val="center"/>
            <w:hideMark/>
          </w:tcPr>
          <w:p w14:paraId="2E4C2166" w14:textId="77777777" w:rsidR="00A45592" w:rsidRPr="00C04A92" w:rsidRDefault="00A45592" w:rsidP="00F151BC">
            <w:pPr>
              <w:spacing w:after="0" w:line="240" w:lineRule="auto"/>
              <w:jc w:val="center"/>
              <w:rPr>
                <w:rFonts w:ascii="Times New Roman" w:eastAsia="Times New Roman" w:hAnsi="Times New Roman" w:cs="Times New Roman"/>
                <w:color w:val="000000"/>
                <w:sz w:val="24"/>
                <w:szCs w:val="24"/>
                <w:lang w:eastAsia="sk-SK"/>
              </w:rPr>
            </w:pPr>
            <w:r w:rsidRPr="00C04A92">
              <w:rPr>
                <w:rFonts w:ascii="Times New Roman" w:eastAsia="Times New Roman" w:hAnsi="Times New Roman" w:cs="Times New Roman"/>
                <w:color w:val="000000"/>
                <w:sz w:val="24"/>
                <w:szCs w:val="24"/>
                <w:lang w:eastAsia="sk-SK"/>
              </w:rPr>
              <w:t>107,8</w:t>
            </w:r>
          </w:p>
        </w:tc>
        <w:tc>
          <w:tcPr>
            <w:tcW w:w="863" w:type="dxa"/>
            <w:shd w:val="clear" w:color="auto" w:fill="auto"/>
            <w:noWrap/>
            <w:vAlign w:val="center"/>
            <w:hideMark/>
          </w:tcPr>
          <w:p w14:paraId="39AA0AB1" w14:textId="77777777" w:rsidR="00A45592" w:rsidRPr="00C04A92" w:rsidRDefault="00A45592" w:rsidP="00F151BC">
            <w:pPr>
              <w:spacing w:after="0" w:line="240" w:lineRule="auto"/>
              <w:jc w:val="center"/>
              <w:rPr>
                <w:rFonts w:ascii="Times New Roman" w:eastAsia="Times New Roman" w:hAnsi="Times New Roman" w:cs="Times New Roman"/>
                <w:color w:val="000000"/>
                <w:sz w:val="24"/>
                <w:szCs w:val="24"/>
                <w:lang w:eastAsia="sk-SK"/>
              </w:rPr>
            </w:pPr>
            <w:r w:rsidRPr="00C04A92">
              <w:rPr>
                <w:rFonts w:ascii="Times New Roman" w:eastAsia="Times New Roman" w:hAnsi="Times New Roman" w:cs="Times New Roman"/>
                <w:color w:val="000000"/>
                <w:sz w:val="24"/>
                <w:szCs w:val="24"/>
                <w:lang w:eastAsia="sk-SK"/>
              </w:rPr>
              <w:t>111,9</w:t>
            </w:r>
          </w:p>
        </w:tc>
        <w:tc>
          <w:tcPr>
            <w:tcW w:w="863" w:type="dxa"/>
            <w:shd w:val="clear" w:color="auto" w:fill="auto"/>
            <w:noWrap/>
            <w:vAlign w:val="center"/>
            <w:hideMark/>
          </w:tcPr>
          <w:p w14:paraId="4B68EA76" w14:textId="77777777" w:rsidR="00A45592" w:rsidRPr="00C04A92" w:rsidRDefault="00A45592" w:rsidP="00F151BC">
            <w:pPr>
              <w:spacing w:after="0" w:line="240" w:lineRule="auto"/>
              <w:jc w:val="center"/>
              <w:rPr>
                <w:rFonts w:ascii="Times New Roman" w:eastAsia="Times New Roman" w:hAnsi="Times New Roman" w:cs="Times New Roman"/>
                <w:color w:val="000000"/>
                <w:sz w:val="24"/>
                <w:szCs w:val="24"/>
                <w:lang w:eastAsia="sk-SK"/>
              </w:rPr>
            </w:pPr>
            <w:r w:rsidRPr="00C04A92">
              <w:rPr>
                <w:rFonts w:ascii="Times New Roman" w:eastAsia="Times New Roman" w:hAnsi="Times New Roman" w:cs="Times New Roman"/>
                <w:color w:val="000000"/>
                <w:sz w:val="24"/>
                <w:szCs w:val="24"/>
                <w:lang w:eastAsia="sk-SK"/>
              </w:rPr>
              <w:t>115,1</w:t>
            </w:r>
          </w:p>
        </w:tc>
        <w:tc>
          <w:tcPr>
            <w:tcW w:w="863" w:type="dxa"/>
            <w:shd w:val="clear" w:color="auto" w:fill="auto"/>
            <w:noWrap/>
            <w:vAlign w:val="center"/>
            <w:hideMark/>
          </w:tcPr>
          <w:p w14:paraId="12F7999F" w14:textId="77777777" w:rsidR="00A45592" w:rsidRPr="00C04A92" w:rsidRDefault="00A45592" w:rsidP="00F151BC">
            <w:pPr>
              <w:spacing w:after="0" w:line="240" w:lineRule="auto"/>
              <w:jc w:val="center"/>
              <w:rPr>
                <w:rFonts w:ascii="Times New Roman" w:eastAsia="Times New Roman" w:hAnsi="Times New Roman" w:cs="Times New Roman"/>
                <w:color w:val="000000"/>
                <w:sz w:val="24"/>
                <w:szCs w:val="24"/>
                <w:lang w:eastAsia="sk-SK"/>
              </w:rPr>
            </w:pPr>
            <w:r w:rsidRPr="00C04A92">
              <w:rPr>
                <w:rFonts w:ascii="Times New Roman" w:eastAsia="Times New Roman" w:hAnsi="Times New Roman" w:cs="Times New Roman"/>
                <w:color w:val="000000"/>
                <w:sz w:val="24"/>
                <w:szCs w:val="24"/>
                <w:lang w:eastAsia="sk-SK"/>
              </w:rPr>
              <w:t>119,6</w:t>
            </w:r>
          </w:p>
        </w:tc>
        <w:tc>
          <w:tcPr>
            <w:tcW w:w="863" w:type="dxa"/>
            <w:shd w:val="clear" w:color="auto" w:fill="auto"/>
            <w:noWrap/>
            <w:vAlign w:val="center"/>
            <w:hideMark/>
          </w:tcPr>
          <w:p w14:paraId="3FCD19B1" w14:textId="77777777" w:rsidR="00A45592" w:rsidRPr="00C04A92" w:rsidRDefault="00A45592" w:rsidP="00F151BC">
            <w:pPr>
              <w:spacing w:after="0" w:line="240" w:lineRule="auto"/>
              <w:jc w:val="center"/>
              <w:rPr>
                <w:rFonts w:ascii="Times New Roman" w:eastAsia="Times New Roman" w:hAnsi="Times New Roman" w:cs="Times New Roman"/>
                <w:color w:val="000000"/>
                <w:sz w:val="24"/>
                <w:szCs w:val="24"/>
                <w:lang w:eastAsia="sk-SK"/>
              </w:rPr>
            </w:pPr>
            <w:r w:rsidRPr="00C04A92">
              <w:rPr>
                <w:rFonts w:ascii="Times New Roman" w:eastAsia="Times New Roman" w:hAnsi="Times New Roman" w:cs="Times New Roman"/>
                <w:color w:val="000000"/>
                <w:sz w:val="24"/>
                <w:szCs w:val="24"/>
                <w:lang w:eastAsia="sk-SK"/>
              </w:rPr>
              <w:t>141,4</w:t>
            </w:r>
          </w:p>
        </w:tc>
        <w:tc>
          <w:tcPr>
            <w:tcW w:w="863" w:type="dxa"/>
            <w:shd w:val="clear" w:color="auto" w:fill="auto"/>
            <w:noWrap/>
            <w:vAlign w:val="center"/>
            <w:hideMark/>
          </w:tcPr>
          <w:p w14:paraId="3A5F663B" w14:textId="77777777" w:rsidR="00A45592" w:rsidRPr="00C04A92" w:rsidRDefault="00A45592" w:rsidP="00F151BC">
            <w:pPr>
              <w:spacing w:after="0" w:line="240" w:lineRule="auto"/>
              <w:jc w:val="center"/>
              <w:rPr>
                <w:rFonts w:ascii="Times New Roman" w:eastAsia="Times New Roman" w:hAnsi="Times New Roman" w:cs="Times New Roman"/>
                <w:color w:val="000000"/>
                <w:sz w:val="24"/>
                <w:szCs w:val="24"/>
                <w:lang w:eastAsia="sk-SK"/>
              </w:rPr>
            </w:pPr>
            <w:r w:rsidRPr="00C04A92">
              <w:rPr>
                <w:rFonts w:ascii="Times New Roman" w:eastAsia="Times New Roman" w:hAnsi="Times New Roman" w:cs="Times New Roman"/>
                <w:color w:val="000000"/>
                <w:sz w:val="24"/>
                <w:szCs w:val="24"/>
                <w:lang w:eastAsia="sk-SK"/>
              </w:rPr>
              <w:t>157,4</w:t>
            </w:r>
          </w:p>
        </w:tc>
      </w:tr>
      <w:tr w:rsidR="00A45592" w:rsidRPr="006C4682" w14:paraId="5090AC3A" w14:textId="77777777" w:rsidTr="00F151BC">
        <w:trPr>
          <w:trHeight w:val="325"/>
        </w:trPr>
        <w:tc>
          <w:tcPr>
            <w:tcW w:w="2984" w:type="dxa"/>
            <w:shd w:val="clear" w:color="auto" w:fill="auto"/>
            <w:noWrap/>
            <w:vAlign w:val="center"/>
            <w:hideMark/>
          </w:tcPr>
          <w:p w14:paraId="0562C9E7" w14:textId="77777777" w:rsidR="00A45592" w:rsidRPr="00C04A92" w:rsidRDefault="00A45592" w:rsidP="00F151BC">
            <w:pPr>
              <w:spacing w:after="0" w:line="240" w:lineRule="auto"/>
              <w:jc w:val="center"/>
              <w:rPr>
                <w:rFonts w:ascii="Times New Roman" w:eastAsia="Times New Roman" w:hAnsi="Times New Roman" w:cs="Times New Roman"/>
                <w:color w:val="000000"/>
                <w:sz w:val="24"/>
                <w:szCs w:val="24"/>
                <w:lang w:eastAsia="sk-SK"/>
              </w:rPr>
            </w:pPr>
            <w:r w:rsidRPr="00C04A92">
              <w:rPr>
                <w:rFonts w:ascii="Times New Roman" w:eastAsia="Times New Roman" w:hAnsi="Times New Roman" w:cs="Times New Roman"/>
                <w:color w:val="000000"/>
                <w:sz w:val="24"/>
                <w:szCs w:val="24"/>
                <w:lang w:eastAsia="sk-SK"/>
              </w:rPr>
              <w:t>Indexy cien stavebných materiálov</w:t>
            </w:r>
          </w:p>
        </w:tc>
        <w:tc>
          <w:tcPr>
            <w:tcW w:w="863" w:type="dxa"/>
            <w:shd w:val="clear" w:color="auto" w:fill="auto"/>
            <w:noWrap/>
            <w:vAlign w:val="center"/>
            <w:hideMark/>
          </w:tcPr>
          <w:p w14:paraId="39E84D1A" w14:textId="77777777" w:rsidR="00A45592" w:rsidRPr="00C04A92" w:rsidRDefault="00A45592" w:rsidP="00F151BC">
            <w:pPr>
              <w:spacing w:after="0" w:line="240" w:lineRule="auto"/>
              <w:jc w:val="center"/>
              <w:rPr>
                <w:rFonts w:ascii="Times New Roman" w:eastAsia="Times New Roman" w:hAnsi="Times New Roman" w:cs="Times New Roman"/>
                <w:color w:val="000000"/>
                <w:sz w:val="24"/>
                <w:szCs w:val="24"/>
                <w:lang w:eastAsia="sk-SK"/>
              </w:rPr>
            </w:pPr>
            <w:r w:rsidRPr="00C04A92">
              <w:rPr>
                <w:rFonts w:ascii="Times New Roman" w:eastAsia="Times New Roman" w:hAnsi="Times New Roman" w:cs="Times New Roman"/>
                <w:color w:val="000000"/>
                <w:sz w:val="24"/>
                <w:szCs w:val="24"/>
                <w:lang w:eastAsia="sk-SK"/>
              </w:rPr>
              <w:t>109</w:t>
            </w:r>
          </w:p>
        </w:tc>
        <w:tc>
          <w:tcPr>
            <w:tcW w:w="863" w:type="dxa"/>
            <w:shd w:val="clear" w:color="auto" w:fill="auto"/>
            <w:noWrap/>
            <w:vAlign w:val="center"/>
            <w:hideMark/>
          </w:tcPr>
          <w:p w14:paraId="1FE2C267" w14:textId="77777777" w:rsidR="00A45592" w:rsidRPr="00C04A92" w:rsidRDefault="00A45592" w:rsidP="00F151BC">
            <w:pPr>
              <w:spacing w:after="0" w:line="240" w:lineRule="auto"/>
              <w:jc w:val="center"/>
              <w:rPr>
                <w:rFonts w:ascii="Times New Roman" w:eastAsia="Times New Roman" w:hAnsi="Times New Roman" w:cs="Times New Roman"/>
                <w:color w:val="000000"/>
                <w:sz w:val="24"/>
                <w:szCs w:val="24"/>
                <w:lang w:eastAsia="sk-SK"/>
              </w:rPr>
            </w:pPr>
            <w:r w:rsidRPr="00C04A92">
              <w:rPr>
                <w:rFonts w:ascii="Times New Roman" w:eastAsia="Times New Roman" w:hAnsi="Times New Roman" w:cs="Times New Roman"/>
                <w:color w:val="000000"/>
                <w:sz w:val="24"/>
                <w:szCs w:val="24"/>
                <w:lang w:eastAsia="sk-SK"/>
              </w:rPr>
              <w:t>110,9</w:t>
            </w:r>
          </w:p>
        </w:tc>
        <w:tc>
          <w:tcPr>
            <w:tcW w:w="863" w:type="dxa"/>
            <w:shd w:val="clear" w:color="auto" w:fill="auto"/>
            <w:noWrap/>
            <w:vAlign w:val="center"/>
            <w:hideMark/>
          </w:tcPr>
          <w:p w14:paraId="5948A8BB" w14:textId="77777777" w:rsidR="00A45592" w:rsidRPr="00C04A92" w:rsidRDefault="00A45592" w:rsidP="00F151BC">
            <w:pPr>
              <w:spacing w:after="0" w:line="240" w:lineRule="auto"/>
              <w:jc w:val="center"/>
              <w:rPr>
                <w:rFonts w:ascii="Times New Roman" w:eastAsia="Times New Roman" w:hAnsi="Times New Roman" w:cs="Times New Roman"/>
                <w:color w:val="000000"/>
                <w:sz w:val="24"/>
                <w:szCs w:val="24"/>
                <w:lang w:eastAsia="sk-SK"/>
              </w:rPr>
            </w:pPr>
            <w:r w:rsidRPr="00C04A92">
              <w:rPr>
                <w:rFonts w:ascii="Times New Roman" w:eastAsia="Times New Roman" w:hAnsi="Times New Roman" w:cs="Times New Roman"/>
                <w:color w:val="000000"/>
                <w:sz w:val="24"/>
                <w:szCs w:val="24"/>
                <w:lang w:eastAsia="sk-SK"/>
              </w:rPr>
              <w:t>110</w:t>
            </w:r>
          </w:p>
        </w:tc>
        <w:tc>
          <w:tcPr>
            <w:tcW w:w="863" w:type="dxa"/>
            <w:shd w:val="clear" w:color="auto" w:fill="auto"/>
            <w:noWrap/>
            <w:vAlign w:val="center"/>
            <w:hideMark/>
          </w:tcPr>
          <w:p w14:paraId="537DFA6E" w14:textId="77777777" w:rsidR="00A45592" w:rsidRPr="00C04A92" w:rsidRDefault="00A45592" w:rsidP="00F151BC">
            <w:pPr>
              <w:spacing w:after="0" w:line="240" w:lineRule="auto"/>
              <w:jc w:val="center"/>
              <w:rPr>
                <w:rFonts w:ascii="Times New Roman" w:eastAsia="Times New Roman" w:hAnsi="Times New Roman" w:cs="Times New Roman"/>
                <w:color w:val="000000"/>
                <w:sz w:val="24"/>
                <w:szCs w:val="24"/>
                <w:lang w:eastAsia="sk-SK"/>
              </w:rPr>
            </w:pPr>
            <w:r w:rsidRPr="00C04A92">
              <w:rPr>
                <w:rFonts w:ascii="Times New Roman" w:eastAsia="Times New Roman" w:hAnsi="Times New Roman" w:cs="Times New Roman"/>
                <w:color w:val="000000"/>
                <w:sz w:val="24"/>
                <w:szCs w:val="24"/>
                <w:lang w:eastAsia="sk-SK"/>
              </w:rPr>
              <w:t>122,7</w:t>
            </w:r>
          </w:p>
        </w:tc>
        <w:tc>
          <w:tcPr>
            <w:tcW w:w="863" w:type="dxa"/>
            <w:shd w:val="clear" w:color="auto" w:fill="auto"/>
            <w:noWrap/>
            <w:vAlign w:val="center"/>
            <w:hideMark/>
          </w:tcPr>
          <w:p w14:paraId="22FD2867" w14:textId="77777777" w:rsidR="00A45592" w:rsidRPr="00C04A92" w:rsidRDefault="00A45592" w:rsidP="00F151BC">
            <w:pPr>
              <w:spacing w:after="0" w:line="240" w:lineRule="auto"/>
              <w:jc w:val="center"/>
              <w:rPr>
                <w:rFonts w:ascii="Times New Roman" w:eastAsia="Times New Roman" w:hAnsi="Times New Roman" w:cs="Times New Roman"/>
                <w:color w:val="000000"/>
                <w:sz w:val="24"/>
                <w:szCs w:val="24"/>
                <w:lang w:eastAsia="sk-SK"/>
              </w:rPr>
            </w:pPr>
            <w:r w:rsidRPr="00C04A92">
              <w:rPr>
                <w:rFonts w:ascii="Times New Roman" w:eastAsia="Times New Roman" w:hAnsi="Times New Roman" w:cs="Times New Roman"/>
                <w:color w:val="000000"/>
                <w:sz w:val="24"/>
                <w:szCs w:val="24"/>
                <w:lang w:eastAsia="sk-SK"/>
              </w:rPr>
              <w:t>150,4</w:t>
            </w:r>
          </w:p>
        </w:tc>
        <w:tc>
          <w:tcPr>
            <w:tcW w:w="863" w:type="dxa"/>
            <w:shd w:val="clear" w:color="auto" w:fill="auto"/>
            <w:noWrap/>
            <w:vAlign w:val="center"/>
            <w:hideMark/>
          </w:tcPr>
          <w:p w14:paraId="6503B41C" w14:textId="77777777" w:rsidR="00A45592" w:rsidRDefault="00A45592" w:rsidP="00F151BC">
            <w:pPr>
              <w:spacing w:after="0" w:line="240" w:lineRule="auto"/>
              <w:jc w:val="center"/>
              <w:rPr>
                <w:rFonts w:ascii="Times New Roman" w:eastAsia="Times New Roman" w:hAnsi="Times New Roman" w:cs="Times New Roman"/>
                <w:color w:val="000000"/>
                <w:sz w:val="24"/>
                <w:szCs w:val="24"/>
                <w:lang w:eastAsia="sk-SK"/>
              </w:rPr>
            </w:pPr>
            <w:r w:rsidRPr="00C04A92">
              <w:rPr>
                <w:rFonts w:ascii="Times New Roman" w:eastAsia="Times New Roman" w:hAnsi="Times New Roman" w:cs="Times New Roman"/>
                <w:color w:val="000000"/>
                <w:sz w:val="24"/>
                <w:szCs w:val="24"/>
                <w:lang w:eastAsia="sk-SK"/>
              </w:rPr>
              <w:t>155,2</w:t>
            </w:r>
          </w:p>
          <w:p w14:paraId="5A2174F4" w14:textId="77777777" w:rsidR="00A45592" w:rsidRPr="00C04A92" w:rsidRDefault="00A45592" w:rsidP="00F151BC">
            <w:pPr>
              <w:spacing w:after="0" w:line="240" w:lineRule="auto"/>
              <w:jc w:val="center"/>
              <w:rPr>
                <w:rFonts w:ascii="Times New Roman" w:eastAsia="Times New Roman" w:hAnsi="Times New Roman" w:cs="Times New Roman"/>
                <w:color w:val="000000"/>
                <w:sz w:val="24"/>
                <w:szCs w:val="24"/>
                <w:lang w:eastAsia="sk-SK"/>
              </w:rPr>
            </w:pPr>
          </w:p>
        </w:tc>
      </w:tr>
    </w:tbl>
    <w:p w14:paraId="592C0303" w14:textId="77777777" w:rsidR="00A45592" w:rsidRDefault="00A45592" w:rsidP="00A45592">
      <w:pPr>
        <w:spacing w:beforeLines="20" w:before="48" w:afterLines="40" w:after="96" w:line="240" w:lineRule="auto"/>
        <w:jc w:val="right"/>
        <w:rPr>
          <w:rFonts w:ascii="Times New Roman" w:hAnsi="Times New Roman" w:cs="Times New Roman"/>
        </w:rPr>
      </w:pPr>
      <w:r w:rsidRPr="00EF718C">
        <w:rPr>
          <w:rFonts w:ascii="Times New Roman" w:hAnsi="Times New Roman" w:cs="Times New Roman"/>
        </w:rPr>
        <w:t xml:space="preserve">Zdroj: </w:t>
      </w:r>
      <w:r>
        <w:rPr>
          <w:rFonts w:ascii="Times New Roman" w:hAnsi="Times New Roman" w:cs="Times New Roman"/>
        </w:rPr>
        <w:t>S</w:t>
      </w:r>
      <w:r w:rsidRPr="00EF718C">
        <w:rPr>
          <w:rFonts w:ascii="Times New Roman" w:hAnsi="Times New Roman" w:cs="Times New Roman"/>
        </w:rPr>
        <w:t xml:space="preserve">pracovanie </w:t>
      </w:r>
      <w:r>
        <w:rPr>
          <w:rFonts w:ascii="Times New Roman" w:hAnsi="Times New Roman" w:cs="Times New Roman"/>
        </w:rPr>
        <w:t xml:space="preserve">IDRP MIRRI SR </w:t>
      </w:r>
      <w:r w:rsidRPr="00EF718C">
        <w:rPr>
          <w:rFonts w:ascii="Times New Roman" w:hAnsi="Times New Roman" w:cs="Times New Roman"/>
        </w:rPr>
        <w:t xml:space="preserve">na základe dát </w:t>
      </w:r>
      <w:r>
        <w:rPr>
          <w:rFonts w:ascii="Times New Roman" w:hAnsi="Times New Roman" w:cs="Times New Roman"/>
        </w:rPr>
        <w:t>ŠÚ SR</w:t>
      </w:r>
    </w:p>
    <w:p w14:paraId="087C710C" w14:textId="77777777" w:rsidR="00A45592" w:rsidRPr="00F106BC" w:rsidRDefault="00A45592" w:rsidP="00A45592">
      <w:pPr>
        <w:spacing w:beforeLines="20" w:before="48" w:afterLines="40" w:after="96" w:line="240" w:lineRule="auto"/>
        <w:jc w:val="both"/>
        <w:rPr>
          <w:rFonts w:ascii="Times New Roman" w:hAnsi="Times New Roman" w:cs="Times New Roman"/>
          <w:sz w:val="24"/>
          <w:szCs w:val="24"/>
        </w:rPr>
      </w:pPr>
    </w:p>
    <w:p w14:paraId="29097C81" w14:textId="77777777" w:rsidR="00A45592" w:rsidRPr="00F106BC" w:rsidRDefault="00A45592" w:rsidP="00A45592">
      <w:pPr>
        <w:spacing w:beforeLines="20" w:before="48" w:afterLines="40" w:after="96" w:line="240" w:lineRule="auto"/>
        <w:ind w:firstLine="708"/>
        <w:jc w:val="both"/>
        <w:rPr>
          <w:rFonts w:ascii="Times New Roman" w:hAnsi="Times New Roman" w:cs="Times New Roman"/>
          <w:sz w:val="24"/>
          <w:szCs w:val="24"/>
        </w:rPr>
      </w:pPr>
      <w:r w:rsidRPr="00F106BC">
        <w:rPr>
          <w:rFonts w:ascii="Times New Roman" w:hAnsi="Times New Roman" w:cs="Times New Roman"/>
          <w:sz w:val="24"/>
          <w:szCs w:val="24"/>
        </w:rPr>
        <w:t>Návrh zákona má vplyvy na rozpočet verejnej správy a vplyvy na podnikateľské prostredie. Návrh zákona nemá vplyvy na životné prostredie, sociálne vplyvy, vplyvy na informatizáciu spoločnosti, vplyvy na služby verejnej správy pre občana a ani vplyvy na manželstvo rodičovstvo a rodinu.</w:t>
      </w:r>
    </w:p>
    <w:p w14:paraId="6BFA1B9B" w14:textId="77777777" w:rsidR="00A45592" w:rsidRPr="00F106BC" w:rsidRDefault="00A45592" w:rsidP="00A45592">
      <w:pPr>
        <w:spacing w:beforeLines="20" w:before="48" w:afterLines="40" w:after="96" w:line="240" w:lineRule="auto"/>
        <w:ind w:firstLine="708"/>
        <w:jc w:val="both"/>
        <w:rPr>
          <w:rFonts w:ascii="Times New Roman" w:hAnsi="Times New Roman" w:cs="Times New Roman"/>
          <w:sz w:val="24"/>
          <w:szCs w:val="24"/>
        </w:rPr>
      </w:pPr>
      <w:r w:rsidRPr="00F106BC">
        <w:rPr>
          <w:rFonts w:ascii="Times New Roman" w:hAnsi="Times New Roman" w:cs="Times New Roman"/>
          <w:sz w:val="24"/>
          <w:szCs w:val="24"/>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 Návrh zákona je v súlade s Európskou chartou miestnej samosprávy.</w:t>
      </w:r>
    </w:p>
    <w:p w14:paraId="7501F2BB" w14:textId="77777777" w:rsidR="00A45592" w:rsidRPr="00EF718C" w:rsidRDefault="00A45592" w:rsidP="00A45592">
      <w:pPr>
        <w:spacing w:beforeLines="20" w:before="48" w:afterLines="40" w:after="96" w:line="240" w:lineRule="auto"/>
        <w:jc w:val="both"/>
        <w:rPr>
          <w:rFonts w:ascii="Times New Roman" w:hAnsi="Times New Roman" w:cs="Times New Roman"/>
        </w:rPr>
      </w:pPr>
    </w:p>
    <w:p w14:paraId="66C9DFA6" w14:textId="77777777" w:rsidR="00A45592" w:rsidRPr="00EF718C" w:rsidRDefault="00A45592" w:rsidP="00A45592">
      <w:pPr>
        <w:spacing w:beforeLines="20" w:before="48" w:afterLines="40" w:after="96" w:line="240" w:lineRule="auto"/>
        <w:rPr>
          <w:rFonts w:ascii="Times New Roman" w:hAnsi="Times New Roman" w:cs="Times New Roman"/>
          <w:color w:val="000000" w:themeColor="text1"/>
        </w:rPr>
      </w:pPr>
      <w:r w:rsidRPr="00EF718C">
        <w:rPr>
          <w:rFonts w:ascii="Times New Roman" w:hAnsi="Times New Roman" w:cs="Times New Roman"/>
          <w:color w:val="000000" w:themeColor="text1"/>
        </w:rPr>
        <w:br w:type="page"/>
      </w:r>
    </w:p>
    <w:p w14:paraId="73CA0114" w14:textId="77777777" w:rsidR="00A45592" w:rsidRPr="00F106BC" w:rsidRDefault="00A45592" w:rsidP="00A45592">
      <w:pPr>
        <w:spacing w:beforeLines="20" w:before="48" w:afterLines="40" w:after="96" w:line="240" w:lineRule="auto"/>
        <w:jc w:val="both"/>
        <w:rPr>
          <w:rFonts w:ascii="Times New Roman" w:hAnsi="Times New Roman" w:cs="Times New Roman"/>
          <w:b/>
          <w:color w:val="000000" w:themeColor="text1"/>
          <w:sz w:val="24"/>
          <w:szCs w:val="24"/>
        </w:rPr>
      </w:pPr>
      <w:r w:rsidRPr="00F106BC">
        <w:rPr>
          <w:rFonts w:ascii="Times New Roman" w:hAnsi="Times New Roman" w:cs="Times New Roman"/>
          <w:b/>
          <w:bCs/>
          <w:color w:val="000000" w:themeColor="text1"/>
          <w:sz w:val="24"/>
          <w:szCs w:val="24"/>
        </w:rPr>
        <w:lastRenderedPageBreak/>
        <w:t>B. Osobitná časť</w:t>
      </w:r>
    </w:p>
    <w:p w14:paraId="2798599F" w14:textId="77777777" w:rsidR="00A45592" w:rsidRPr="00EF718C" w:rsidRDefault="00A45592" w:rsidP="00A45592">
      <w:pPr>
        <w:spacing w:beforeLines="20" w:before="48" w:afterLines="40" w:after="96" w:line="240" w:lineRule="auto"/>
        <w:jc w:val="both"/>
        <w:rPr>
          <w:rFonts w:ascii="Times New Roman" w:hAnsi="Times New Roman" w:cs="Times New Roman"/>
          <w:color w:val="000000" w:themeColor="text1"/>
        </w:rPr>
      </w:pPr>
    </w:p>
    <w:p w14:paraId="1AB2FE42" w14:textId="77777777" w:rsidR="00A45592" w:rsidRPr="006D75DB" w:rsidRDefault="00A45592" w:rsidP="00A45592">
      <w:pPr>
        <w:spacing w:beforeLines="20" w:before="48" w:afterLines="40" w:after="96" w:line="240" w:lineRule="auto"/>
        <w:jc w:val="both"/>
        <w:rPr>
          <w:rFonts w:ascii="Times New Roman" w:hAnsi="Times New Roman" w:cs="Times New Roman"/>
          <w:b/>
          <w:bCs/>
          <w:color w:val="000000" w:themeColor="text1"/>
          <w:sz w:val="24"/>
          <w:szCs w:val="24"/>
        </w:rPr>
      </w:pPr>
      <w:r w:rsidRPr="006D75DB">
        <w:rPr>
          <w:rFonts w:ascii="Times New Roman" w:hAnsi="Times New Roman" w:cs="Times New Roman"/>
          <w:b/>
          <w:bCs/>
          <w:color w:val="000000" w:themeColor="text1"/>
          <w:sz w:val="24"/>
          <w:szCs w:val="24"/>
        </w:rPr>
        <w:t xml:space="preserve">K Čl. I (zákon č. 447/2015 Z. z.) </w:t>
      </w:r>
    </w:p>
    <w:p w14:paraId="5FD0E71E" w14:textId="77777777" w:rsidR="00A45592" w:rsidRPr="00F106BC" w:rsidRDefault="00A45592" w:rsidP="00A45592">
      <w:pPr>
        <w:spacing w:beforeLines="20" w:before="48" w:afterLines="40" w:after="96" w:line="240" w:lineRule="auto"/>
        <w:jc w:val="both"/>
        <w:rPr>
          <w:rFonts w:ascii="Times New Roman" w:hAnsi="Times New Roman" w:cs="Times New Roman"/>
          <w:color w:val="000000" w:themeColor="text1"/>
          <w:sz w:val="24"/>
          <w:szCs w:val="24"/>
        </w:rPr>
      </w:pPr>
      <w:r w:rsidRPr="00F106BC">
        <w:rPr>
          <w:rFonts w:ascii="Times New Roman" w:hAnsi="Times New Roman" w:cs="Times New Roman"/>
          <w:color w:val="000000" w:themeColor="text1"/>
          <w:sz w:val="24"/>
          <w:szCs w:val="24"/>
        </w:rPr>
        <w:t>K bodu 1 (§ 7 ods. 1)</w:t>
      </w:r>
    </w:p>
    <w:p w14:paraId="6C3F4C21" w14:textId="77777777" w:rsidR="00A45592" w:rsidRPr="00F106BC" w:rsidRDefault="00A45592" w:rsidP="00A45592">
      <w:pPr>
        <w:spacing w:beforeLines="20" w:before="48" w:afterLines="40" w:after="96" w:line="240" w:lineRule="auto"/>
        <w:jc w:val="both"/>
        <w:rPr>
          <w:rFonts w:ascii="Times New Roman" w:hAnsi="Times New Roman" w:cs="Times New Roman"/>
          <w:sz w:val="24"/>
          <w:szCs w:val="24"/>
        </w:rPr>
      </w:pPr>
      <w:r w:rsidRPr="00F106BC">
        <w:rPr>
          <w:rFonts w:ascii="Times New Roman" w:hAnsi="Times New Roman" w:cs="Times New Roman"/>
          <w:sz w:val="24"/>
          <w:szCs w:val="24"/>
        </w:rPr>
        <w:t>Zvyšuje sa horná hranica sadzby miestneho poplatku za rozvoj z dôvodu inflácie a tým súvisiaceho masívneho nárastu cien stavebných materiálov a stavebných prác.</w:t>
      </w:r>
    </w:p>
    <w:p w14:paraId="53586CD9" w14:textId="77777777" w:rsidR="00A45592" w:rsidRPr="00F106BC" w:rsidRDefault="00A45592" w:rsidP="00A45592">
      <w:pPr>
        <w:spacing w:beforeLines="20" w:before="48" w:afterLines="40" w:after="96" w:line="240" w:lineRule="auto"/>
        <w:jc w:val="both"/>
        <w:rPr>
          <w:rFonts w:ascii="Times New Roman" w:hAnsi="Times New Roman" w:cs="Times New Roman"/>
          <w:color w:val="000000" w:themeColor="text1"/>
          <w:sz w:val="24"/>
          <w:szCs w:val="24"/>
        </w:rPr>
      </w:pPr>
      <w:r w:rsidRPr="00F106BC">
        <w:rPr>
          <w:rFonts w:ascii="Times New Roman" w:hAnsi="Times New Roman" w:cs="Times New Roman"/>
          <w:color w:val="000000" w:themeColor="text1"/>
          <w:sz w:val="24"/>
          <w:szCs w:val="24"/>
        </w:rPr>
        <w:tab/>
      </w:r>
    </w:p>
    <w:p w14:paraId="0254992D" w14:textId="35CC08EC" w:rsidR="00A45592" w:rsidRPr="00F106BC" w:rsidRDefault="00A45592" w:rsidP="00A45592">
      <w:pPr>
        <w:spacing w:beforeLines="20" w:before="48" w:afterLines="40" w:after="96" w:line="240" w:lineRule="auto"/>
        <w:jc w:val="both"/>
        <w:rPr>
          <w:rFonts w:ascii="Times New Roman" w:hAnsi="Times New Roman" w:cs="Times New Roman"/>
          <w:color w:val="000000" w:themeColor="text1"/>
          <w:sz w:val="24"/>
          <w:szCs w:val="24"/>
        </w:rPr>
      </w:pPr>
      <w:r w:rsidRPr="00F106BC">
        <w:rPr>
          <w:rFonts w:ascii="Times New Roman" w:hAnsi="Times New Roman" w:cs="Times New Roman"/>
          <w:color w:val="000000" w:themeColor="text1"/>
          <w:sz w:val="24"/>
          <w:szCs w:val="24"/>
        </w:rPr>
        <w:t>K bod</w:t>
      </w:r>
      <w:r w:rsidR="004A6E4C">
        <w:rPr>
          <w:rFonts w:ascii="Times New Roman" w:hAnsi="Times New Roman" w:cs="Times New Roman"/>
          <w:color w:val="000000" w:themeColor="text1"/>
          <w:sz w:val="24"/>
          <w:szCs w:val="24"/>
        </w:rPr>
        <w:t>om</w:t>
      </w:r>
      <w:r w:rsidRPr="00F106BC">
        <w:rPr>
          <w:rFonts w:ascii="Times New Roman" w:hAnsi="Times New Roman" w:cs="Times New Roman"/>
          <w:color w:val="000000" w:themeColor="text1"/>
          <w:sz w:val="24"/>
          <w:szCs w:val="24"/>
        </w:rPr>
        <w:t xml:space="preserve"> 2 </w:t>
      </w:r>
      <w:r w:rsidR="004A6E4C">
        <w:rPr>
          <w:rFonts w:ascii="Times New Roman" w:hAnsi="Times New Roman" w:cs="Times New Roman"/>
          <w:color w:val="000000" w:themeColor="text1"/>
          <w:sz w:val="24"/>
          <w:szCs w:val="24"/>
        </w:rPr>
        <w:t xml:space="preserve">a 3 </w:t>
      </w:r>
      <w:r w:rsidRPr="00F106BC">
        <w:rPr>
          <w:rFonts w:ascii="Times New Roman" w:hAnsi="Times New Roman" w:cs="Times New Roman"/>
          <w:color w:val="000000" w:themeColor="text1"/>
          <w:sz w:val="24"/>
          <w:szCs w:val="24"/>
        </w:rPr>
        <w:t>(§ 7 ods.</w:t>
      </w:r>
      <w:r w:rsidR="004A6E4C">
        <w:rPr>
          <w:rFonts w:ascii="Times New Roman" w:hAnsi="Times New Roman" w:cs="Times New Roman"/>
          <w:color w:val="000000" w:themeColor="text1"/>
          <w:sz w:val="24"/>
          <w:szCs w:val="24"/>
        </w:rPr>
        <w:t xml:space="preserve"> 4 a</w:t>
      </w:r>
      <w:r w:rsidRPr="00F106BC">
        <w:rPr>
          <w:rFonts w:ascii="Times New Roman" w:hAnsi="Times New Roman" w:cs="Times New Roman"/>
          <w:color w:val="000000" w:themeColor="text1"/>
          <w:sz w:val="24"/>
          <w:szCs w:val="24"/>
        </w:rPr>
        <w:t xml:space="preserve"> 6)</w:t>
      </w:r>
    </w:p>
    <w:p w14:paraId="02850CBF" w14:textId="77777777" w:rsidR="00A45592" w:rsidRPr="00F106BC" w:rsidRDefault="00A45592" w:rsidP="00A45592">
      <w:pPr>
        <w:spacing w:beforeLines="20" w:before="48" w:afterLines="40" w:after="96" w:line="240" w:lineRule="auto"/>
        <w:jc w:val="both"/>
        <w:rPr>
          <w:rFonts w:ascii="Times New Roman" w:hAnsi="Times New Roman" w:cs="Times New Roman"/>
          <w:color w:val="000000" w:themeColor="text1"/>
          <w:sz w:val="24"/>
          <w:szCs w:val="24"/>
        </w:rPr>
      </w:pPr>
      <w:r w:rsidRPr="00F106BC">
        <w:rPr>
          <w:rFonts w:ascii="Times New Roman" w:hAnsi="Times New Roman" w:cs="Times New Roman"/>
          <w:color w:val="000000" w:themeColor="text1"/>
          <w:sz w:val="24"/>
          <w:szCs w:val="24"/>
        </w:rPr>
        <w:t xml:space="preserve">Zavádza sa možnosť pre obce vyhodnocovať pozitívny dopad investície na rozvoj komunity formou zvýhodneného miestneho poplatku za rozvoj, napríklad pre malometrážne nájomné byty, pri ktorých je žiaduce zvýhodniť takúto investíciu pred inými, pre obyvateľov obce menej výhodnými, investíciami. </w:t>
      </w:r>
    </w:p>
    <w:p w14:paraId="4546B41C" w14:textId="77777777" w:rsidR="00A45592" w:rsidRPr="00F106BC" w:rsidRDefault="00A45592" w:rsidP="00A45592">
      <w:pPr>
        <w:spacing w:beforeLines="20" w:before="48" w:afterLines="40" w:after="96" w:line="240" w:lineRule="auto"/>
        <w:jc w:val="both"/>
        <w:rPr>
          <w:rFonts w:ascii="Times New Roman" w:hAnsi="Times New Roman" w:cs="Times New Roman"/>
          <w:color w:val="000000" w:themeColor="text1"/>
          <w:sz w:val="24"/>
          <w:szCs w:val="24"/>
        </w:rPr>
      </w:pPr>
    </w:p>
    <w:p w14:paraId="447873E7" w14:textId="7B9D540D" w:rsidR="00A45592" w:rsidRPr="00F106BC" w:rsidRDefault="00A45592" w:rsidP="00A45592">
      <w:pPr>
        <w:spacing w:beforeLines="20" w:before="48" w:afterLines="40" w:after="96" w:line="240" w:lineRule="auto"/>
        <w:jc w:val="both"/>
        <w:rPr>
          <w:rFonts w:ascii="Times New Roman" w:hAnsi="Times New Roman" w:cs="Times New Roman"/>
          <w:color w:val="000000" w:themeColor="text1"/>
          <w:sz w:val="24"/>
          <w:szCs w:val="24"/>
        </w:rPr>
      </w:pPr>
      <w:r w:rsidRPr="00F106BC">
        <w:rPr>
          <w:rFonts w:ascii="Times New Roman" w:hAnsi="Times New Roman" w:cs="Times New Roman"/>
          <w:color w:val="000000" w:themeColor="text1"/>
          <w:sz w:val="24"/>
          <w:szCs w:val="24"/>
        </w:rPr>
        <w:t xml:space="preserve">K bodu </w:t>
      </w:r>
      <w:r w:rsidR="004A6E4C">
        <w:rPr>
          <w:rFonts w:ascii="Times New Roman" w:hAnsi="Times New Roman" w:cs="Times New Roman"/>
          <w:color w:val="000000" w:themeColor="text1"/>
          <w:sz w:val="24"/>
          <w:szCs w:val="24"/>
        </w:rPr>
        <w:t>4</w:t>
      </w:r>
      <w:r w:rsidRPr="00F106BC">
        <w:rPr>
          <w:rFonts w:ascii="Times New Roman" w:hAnsi="Times New Roman" w:cs="Times New Roman"/>
          <w:color w:val="000000" w:themeColor="text1"/>
          <w:sz w:val="24"/>
          <w:szCs w:val="24"/>
        </w:rPr>
        <w:t xml:space="preserve"> (§ 11 ods. 2)</w:t>
      </w:r>
    </w:p>
    <w:p w14:paraId="5C034008" w14:textId="77777777" w:rsidR="00A45592" w:rsidRPr="00784EDC" w:rsidRDefault="00A45592" w:rsidP="00A45592">
      <w:pPr>
        <w:pStyle w:val="Bezriadkovania"/>
        <w:jc w:val="both"/>
        <w:rPr>
          <w:rFonts w:ascii="Times New Roman" w:hAnsi="Times New Roman" w:cs="Times New Roman"/>
          <w:sz w:val="24"/>
          <w:szCs w:val="24"/>
          <w:lang w:eastAsia="sk-SK"/>
        </w:rPr>
      </w:pPr>
      <w:r w:rsidRPr="00784EDC">
        <w:rPr>
          <w:rFonts w:ascii="Times New Roman" w:hAnsi="Times New Roman" w:cs="Times New Roman"/>
          <w:sz w:val="24"/>
          <w:szCs w:val="24"/>
        </w:rPr>
        <w:t xml:space="preserve">Rozširuje sa možnosť využitia výnosu z miestneho poplatku na rozvoj na okruh ďalších vymedzených oprávnených výdavkov v nadväznosti na požiadavky regiónov vyplývajúce z praxe. </w:t>
      </w:r>
      <w:r w:rsidRPr="00784EDC">
        <w:rPr>
          <w:rFonts w:ascii="Times New Roman" w:hAnsi="Times New Roman" w:cs="Times New Roman"/>
          <w:sz w:val="24"/>
          <w:szCs w:val="24"/>
          <w:lang w:eastAsia="sk-SK"/>
        </w:rPr>
        <w:t xml:space="preserve">Výnos z poplatku za rozvoj sa použije na úhradu výdavkov súvisiacich s  </w:t>
      </w:r>
    </w:p>
    <w:p w14:paraId="03BC47F4" w14:textId="77777777" w:rsidR="00A45592" w:rsidRPr="00784EDC" w:rsidRDefault="00A45592" w:rsidP="00A45592">
      <w:pPr>
        <w:pStyle w:val="Bezriadkovania"/>
        <w:jc w:val="both"/>
        <w:rPr>
          <w:rFonts w:ascii="Times New Roman" w:hAnsi="Times New Roman" w:cs="Times New Roman"/>
          <w:sz w:val="24"/>
          <w:szCs w:val="24"/>
          <w:lang w:eastAsia="sk-SK"/>
        </w:rPr>
      </w:pPr>
      <w:r w:rsidRPr="00784EDC">
        <w:rPr>
          <w:rFonts w:ascii="Times New Roman" w:hAnsi="Times New Roman" w:cs="Times New Roman"/>
          <w:sz w:val="24"/>
          <w:szCs w:val="24"/>
          <w:lang w:eastAsia="sk-SK"/>
        </w:rPr>
        <w:t>- nadobudnutím nehnuteľnosti, so zhotovením stavby, so stavebnými úpravami alebo s údržbou stavby, vrátane potrebných nákladov na vysporiadanie pozemku alebo odstránenie stavby, ak ide o školu, školské zariadenie alebo zariadenie slúžiace na praktické vyučovanie, zariadenie starostlivosti o deti, detské ihrisko alebo športovisko, zdravotnícke zariadenie, nehnuteľnosť slúžiacu na sociálne bývanie alebo na poskytovanie sociálnych, športových, náboženských alebo kultúrnych služieb, kultúrnu pamiatku alebo nehnuteľnosť obdobného významu pre obec, verejne prístupný park alebo záhradu, verejne prístupné miesto na oddych, verejne prístupnú turistickú atrakciu alebo verejnú zeleň, dopravnú infraštruktúru (napríklad cesty, autobusové zastávky</w:t>
      </w:r>
      <w:r>
        <w:rPr>
          <w:rFonts w:ascii="Times New Roman" w:hAnsi="Times New Roman" w:cs="Times New Roman"/>
          <w:sz w:val="24"/>
          <w:szCs w:val="24"/>
          <w:lang w:eastAsia="sk-SK"/>
        </w:rPr>
        <w:t>,</w:t>
      </w:r>
      <w:r w:rsidRPr="00784EDC">
        <w:rPr>
          <w:rFonts w:ascii="Times New Roman" w:hAnsi="Times New Roman" w:cs="Times New Roman"/>
          <w:sz w:val="24"/>
          <w:szCs w:val="24"/>
          <w:lang w:eastAsia="sk-SK"/>
        </w:rPr>
        <w:t> električkové trate</w:t>
      </w:r>
      <w:r>
        <w:rPr>
          <w:rFonts w:ascii="Times New Roman" w:hAnsi="Times New Roman" w:cs="Times New Roman"/>
          <w:sz w:val="24"/>
          <w:szCs w:val="24"/>
          <w:lang w:eastAsia="sk-SK"/>
        </w:rPr>
        <w:t xml:space="preserve"> a podobne</w:t>
      </w:r>
      <w:r w:rsidRPr="00784EDC">
        <w:rPr>
          <w:rFonts w:ascii="Times New Roman" w:hAnsi="Times New Roman" w:cs="Times New Roman"/>
          <w:sz w:val="24"/>
          <w:szCs w:val="24"/>
          <w:lang w:eastAsia="sk-SK"/>
        </w:rPr>
        <w:t>), technickú infraštruktúru (napríklad verejne osvetlenie, prekládka plynu alebo teplovodu pri investícii a podobne), opatrenia na zadržanie vody v území a na zmierňovanie zmeny klímy a adaptácie na jej nepriaznivé dôsledky, verejný vodovod alebo verejnú kanalizáciu,</w:t>
      </w:r>
    </w:p>
    <w:p w14:paraId="69211555" w14:textId="77777777" w:rsidR="00A45592" w:rsidRPr="00784EDC" w:rsidRDefault="00A45592" w:rsidP="00A45592">
      <w:pPr>
        <w:pStyle w:val="Odsekzoznamu"/>
        <w:shd w:val="clear" w:color="auto" w:fill="FFFFFF"/>
        <w:spacing w:beforeLines="20" w:before="48" w:afterLines="40" w:after="96" w:line="240" w:lineRule="auto"/>
        <w:ind w:left="0"/>
        <w:jc w:val="both"/>
        <w:rPr>
          <w:rFonts w:ascii="Times New Roman" w:eastAsia="Times New Roman" w:hAnsi="Times New Roman" w:cs="Times New Roman"/>
          <w:bCs/>
          <w:color w:val="000000" w:themeColor="text1"/>
          <w:sz w:val="24"/>
          <w:szCs w:val="24"/>
          <w:lang w:eastAsia="sk-SK"/>
        </w:rPr>
      </w:pPr>
      <w:r w:rsidRPr="00784EDC">
        <w:rPr>
          <w:rFonts w:ascii="Times New Roman" w:eastAsia="Times New Roman" w:hAnsi="Times New Roman" w:cs="Times New Roman"/>
          <w:bCs/>
          <w:color w:val="000000" w:themeColor="text1"/>
          <w:sz w:val="24"/>
          <w:szCs w:val="24"/>
          <w:lang w:eastAsia="sk-SK"/>
        </w:rPr>
        <w:t>- obstaraním zariadení slúžiacich na starostlivosť o bezpečnosť, poriadok a údržbu obce a obecného majetku (napríklad investície do strojového zariadenia potrebného na údržbu majetku obcí</w:t>
      </w:r>
      <w:r w:rsidRPr="00784EDC">
        <w:rPr>
          <w:rFonts w:ascii="Times New Roman" w:hAnsi="Times New Roman" w:cs="Times New Roman"/>
          <w:sz w:val="24"/>
          <w:szCs w:val="24"/>
        </w:rPr>
        <w:t xml:space="preserve"> a podobne</w:t>
      </w:r>
      <w:r w:rsidRPr="00784EDC">
        <w:rPr>
          <w:rFonts w:ascii="Times New Roman" w:eastAsia="Times New Roman" w:hAnsi="Times New Roman" w:cs="Times New Roman"/>
          <w:bCs/>
          <w:color w:val="000000" w:themeColor="text1"/>
          <w:sz w:val="24"/>
          <w:szCs w:val="24"/>
          <w:lang w:eastAsia="sk-SK"/>
        </w:rPr>
        <w:t>),</w:t>
      </w:r>
    </w:p>
    <w:p w14:paraId="353C58D6" w14:textId="77777777" w:rsidR="00A45592" w:rsidRPr="00784EDC" w:rsidRDefault="00A45592" w:rsidP="00A45592">
      <w:pPr>
        <w:pStyle w:val="Odsekzoznamu"/>
        <w:shd w:val="clear" w:color="auto" w:fill="FFFFFF"/>
        <w:spacing w:beforeLines="20" w:before="48" w:afterLines="40" w:after="96" w:line="240" w:lineRule="auto"/>
        <w:ind w:left="0"/>
        <w:jc w:val="both"/>
        <w:rPr>
          <w:rFonts w:ascii="Times New Roman" w:eastAsia="Times New Roman" w:hAnsi="Times New Roman" w:cs="Times New Roman"/>
          <w:bCs/>
          <w:color w:val="000000" w:themeColor="text1"/>
          <w:sz w:val="24"/>
          <w:szCs w:val="24"/>
          <w:lang w:eastAsia="sk-SK"/>
        </w:rPr>
      </w:pPr>
      <w:r w:rsidRPr="00784EDC">
        <w:rPr>
          <w:rFonts w:ascii="Times New Roman" w:eastAsia="Times New Roman" w:hAnsi="Times New Roman" w:cs="Times New Roman"/>
          <w:bCs/>
          <w:color w:val="000000" w:themeColor="text1"/>
          <w:sz w:val="24"/>
          <w:szCs w:val="24"/>
          <w:lang w:eastAsia="sk-SK"/>
        </w:rPr>
        <w:t>- obstaraním územnoplánovacej dokumentácie alebo územnoplánovacieho podkladu,</w:t>
      </w:r>
    </w:p>
    <w:p w14:paraId="6728E65A" w14:textId="77777777" w:rsidR="00A45592" w:rsidRPr="00784EDC" w:rsidRDefault="00A45592" w:rsidP="00A45592">
      <w:pPr>
        <w:pStyle w:val="Odsekzoznamu"/>
        <w:shd w:val="clear" w:color="auto" w:fill="FFFFFF"/>
        <w:spacing w:beforeLines="20" w:before="48" w:afterLines="40" w:after="96" w:line="240" w:lineRule="auto"/>
        <w:ind w:left="0"/>
        <w:jc w:val="both"/>
        <w:rPr>
          <w:rFonts w:ascii="Times New Roman" w:eastAsia="Times New Roman" w:hAnsi="Times New Roman" w:cs="Times New Roman"/>
          <w:bCs/>
          <w:color w:val="000000" w:themeColor="text1"/>
          <w:sz w:val="24"/>
          <w:szCs w:val="24"/>
          <w:lang w:eastAsia="sk-SK"/>
        </w:rPr>
      </w:pPr>
      <w:r w:rsidRPr="00784EDC">
        <w:rPr>
          <w:rFonts w:ascii="Times New Roman" w:eastAsia="Times New Roman" w:hAnsi="Times New Roman" w:cs="Times New Roman"/>
          <w:bCs/>
          <w:color w:val="000000" w:themeColor="text1"/>
          <w:sz w:val="24"/>
          <w:szCs w:val="24"/>
          <w:lang w:eastAsia="sk-SK"/>
        </w:rPr>
        <w:t>- podporou verejnej dopravy,</w:t>
      </w:r>
    </w:p>
    <w:p w14:paraId="2719F804" w14:textId="77777777" w:rsidR="00A45592" w:rsidRPr="00784EDC" w:rsidRDefault="00A45592" w:rsidP="00A45592">
      <w:pPr>
        <w:pStyle w:val="Odsekzoznamu"/>
        <w:shd w:val="clear" w:color="auto" w:fill="FFFFFF"/>
        <w:spacing w:beforeLines="20" w:before="48" w:afterLines="40" w:after="96" w:line="240" w:lineRule="auto"/>
        <w:ind w:left="0"/>
        <w:jc w:val="both"/>
        <w:rPr>
          <w:rFonts w:ascii="Times New Roman" w:eastAsia="Times New Roman" w:hAnsi="Times New Roman" w:cs="Times New Roman"/>
          <w:bCs/>
          <w:color w:val="000000" w:themeColor="text1"/>
          <w:sz w:val="24"/>
          <w:szCs w:val="24"/>
          <w:lang w:eastAsia="sk-SK"/>
        </w:rPr>
      </w:pPr>
      <w:r w:rsidRPr="00784EDC">
        <w:rPr>
          <w:rFonts w:ascii="Times New Roman" w:eastAsia="Times New Roman" w:hAnsi="Times New Roman" w:cs="Times New Roman"/>
          <w:bCs/>
          <w:color w:val="000000" w:themeColor="text1"/>
          <w:sz w:val="24"/>
          <w:szCs w:val="24"/>
          <w:lang w:eastAsia="sk-SK"/>
        </w:rPr>
        <w:t>- tvorbou štúdií a analýz spojených so zlepšovaním života obyvateľov obce,</w:t>
      </w:r>
    </w:p>
    <w:p w14:paraId="2A4C8BD1" w14:textId="77777777" w:rsidR="00A45592" w:rsidRPr="00784EDC" w:rsidRDefault="00A45592" w:rsidP="00A45592">
      <w:pPr>
        <w:pStyle w:val="Odsekzoznamu"/>
        <w:shd w:val="clear" w:color="auto" w:fill="FFFFFF"/>
        <w:spacing w:beforeLines="20" w:before="48" w:afterLines="40" w:after="96" w:line="240" w:lineRule="auto"/>
        <w:ind w:left="0"/>
        <w:jc w:val="both"/>
        <w:rPr>
          <w:rFonts w:ascii="Times New Roman" w:eastAsia="Times New Roman" w:hAnsi="Times New Roman" w:cs="Times New Roman"/>
          <w:bCs/>
          <w:color w:val="000000" w:themeColor="text1"/>
          <w:sz w:val="24"/>
          <w:szCs w:val="24"/>
          <w:lang w:eastAsia="sk-SK"/>
        </w:rPr>
      </w:pPr>
      <w:r w:rsidRPr="00784EDC">
        <w:rPr>
          <w:rFonts w:ascii="Times New Roman" w:eastAsia="Times New Roman" w:hAnsi="Times New Roman" w:cs="Times New Roman"/>
          <w:bCs/>
          <w:color w:val="000000" w:themeColor="text1"/>
          <w:sz w:val="24"/>
          <w:szCs w:val="24"/>
          <w:lang w:eastAsia="sk-SK"/>
        </w:rPr>
        <w:t>- pozemkovými úpravami.</w:t>
      </w:r>
    </w:p>
    <w:p w14:paraId="559CAD03" w14:textId="77777777" w:rsidR="00A45592" w:rsidRPr="00F106BC" w:rsidRDefault="00A45592" w:rsidP="00A45592">
      <w:pPr>
        <w:spacing w:beforeLines="20" w:before="48" w:afterLines="40" w:after="96" w:line="240" w:lineRule="auto"/>
        <w:jc w:val="both"/>
        <w:rPr>
          <w:rFonts w:ascii="Times New Roman" w:hAnsi="Times New Roman" w:cs="Times New Roman"/>
          <w:color w:val="000000" w:themeColor="text1"/>
          <w:sz w:val="24"/>
          <w:szCs w:val="24"/>
        </w:rPr>
      </w:pPr>
    </w:p>
    <w:p w14:paraId="76A62EFE" w14:textId="0AF81E1F" w:rsidR="00A45592" w:rsidRPr="00F106BC" w:rsidRDefault="00A45592" w:rsidP="00A45592">
      <w:pPr>
        <w:spacing w:beforeLines="20" w:before="48" w:afterLines="40" w:after="96" w:line="240" w:lineRule="auto"/>
        <w:jc w:val="both"/>
        <w:rPr>
          <w:rFonts w:ascii="Times New Roman" w:hAnsi="Times New Roman" w:cs="Times New Roman"/>
          <w:color w:val="000000" w:themeColor="text1"/>
          <w:sz w:val="24"/>
          <w:szCs w:val="24"/>
        </w:rPr>
      </w:pPr>
      <w:r w:rsidRPr="00F106BC">
        <w:rPr>
          <w:rFonts w:ascii="Times New Roman" w:hAnsi="Times New Roman" w:cs="Times New Roman"/>
          <w:color w:val="000000" w:themeColor="text1"/>
          <w:sz w:val="24"/>
          <w:szCs w:val="24"/>
        </w:rPr>
        <w:t xml:space="preserve">K bodu </w:t>
      </w:r>
      <w:r w:rsidR="004A6E4C">
        <w:rPr>
          <w:rFonts w:ascii="Times New Roman" w:hAnsi="Times New Roman" w:cs="Times New Roman"/>
          <w:color w:val="000000" w:themeColor="text1"/>
          <w:sz w:val="24"/>
          <w:szCs w:val="24"/>
        </w:rPr>
        <w:t>5</w:t>
      </w:r>
      <w:r w:rsidRPr="00F106BC">
        <w:rPr>
          <w:rFonts w:ascii="Times New Roman" w:hAnsi="Times New Roman" w:cs="Times New Roman"/>
          <w:color w:val="000000" w:themeColor="text1"/>
          <w:sz w:val="24"/>
          <w:szCs w:val="24"/>
        </w:rPr>
        <w:t xml:space="preserve"> (§ 11 ods. 4)</w:t>
      </w:r>
    </w:p>
    <w:p w14:paraId="6065BD7C" w14:textId="77777777" w:rsidR="00A45592" w:rsidRPr="00F106BC" w:rsidRDefault="00A45592" w:rsidP="00A45592">
      <w:pPr>
        <w:spacing w:beforeLines="20" w:before="48" w:afterLines="40" w:after="96" w:line="240" w:lineRule="auto"/>
        <w:jc w:val="both"/>
        <w:rPr>
          <w:rFonts w:ascii="Times New Roman" w:hAnsi="Times New Roman" w:cs="Times New Roman"/>
          <w:color w:val="000000" w:themeColor="text1"/>
          <w:sz w:val="24"/>
          <w:szCs w:val="24"/>
        </w:rPr>
      </w:pPr>
      <w:r w:rsidRPr="00F106BC">
        <w:rPr>
          <w:rFonts w:ascii="Times New Roman" w:hAnsi="Times New Roman" w:cs="Times New Roman"/>
          <w:color w:val="000000" w:themeColor="text1"/>
          <w:sz w:val="24"/>
          <w:szCs w:val="24"/>
        </w:rPr>
        <w:t>Toto ustanovenie umožňuje obci spolufinancovať investičné aktivity na zlepšovanie života obyvateľov obce z poskytnutých dotácií z dôvodu, že kumulácia zdrojov výhradne z poplatku za rozvoj predstavuje zdĺhavý niekoľkoročný proces na vytvorenie dostatočných finančných zdrojov na financovanie potrebných investícií.</w:t>
      </w:r>
    </w:p>
    <w:p w14:paraId="3A231796" w14:textId="77777777" w:rsidR="00A45592" w:rsidRDefault="00A45592" w:rsidP="00A45592">
      <w:pPr>
        <w:spacing w:beforeLines="20" w:before="48" w:afterLines="40" w:after="96" w:line="240" w:lineRule="auto"/>
        <w:jc w:val="both"/>
        <w:rPr>
          <w:rFonts w:ascii="Times New Roman" w:hAnsi="Times New Roman" w:cs="Times New Roman"/>
          <w:color w:val="000000" w:themeColor="text1"/>
          <w:sz w:val="24"/>
          <w:szCs w:val="24"/>
        </w:rPr>
      </w:pPr>
    </w:p>
    <w:p w14:paraId="6F4CB1A7" w14:textId="77777777" w:rsidR="00A45592" w:rsidRDefault="00A45592" w:rsidP="00A45592">
      <w:pPr>
        <w:spacing w:beforeLines="20" w:before="48" w:afterLines="40" w:after="96" w:line="240" w:lineRule="auto"/>
        <w:jc w:val="both"/>
        <w:rPr>
          <w:rFonts w:ascii="Times New Roman" w:hAnsi="Times New Roman" w:cs="Times New Roman"/>
          <w:color w:val="000000" w:themeColor="text1"/>
          <w:sz w:val="24"/>
          <w:szCs w:val="24"/>
        </w:rPr>
      </w:pPr>
    </w:p>
    <w:p w14:paraId="6C483D8A" w14:textId="77777777" w:rsidR="00A45592" w:rsidRPr="00F106BC" w:rsidRDefault="00A45592" w:rsidP="00A45592">
      <w:pPr>
        <w:spacing w:beforeLines="20" w:before="48" w:afterLines="40" w:after="96" w:line="240" w:lineRule="auto"/>
        <w:jc w:val="both"/>
        <w:rPr>
          <w:rFonts w:ascii="Times New Roman" w:hAnsi="Times New Roman" w:cs="Times New Roman"/>
          <w:color w:val="000000" w:themeColor="text1"/>
          <w:sz w:val="24"/>
          <w:szCs w:val="24"/>
        </w:rPr>
      </w:pPr>
    </w:p>
    <w:p w14:paraId="2A6DCA4D" w14:textId="3130C230" w:rsidR="00A45592" w:rsidRPr="00F106BC" w:rsidRDefault="00A45592" w:rsidP="00A45592">
      <w:pPr>
        <w:spacing w:beforeLines="20" w:before="48" w:afterLines="40" w:after="96" w:line="240" w:lineRule="auto"/>
        <w:jc w:val="both"/>
        <w:rPr>
          <w:rFonts w:ascii="Times New Roman" w:hAnsi="Times New Roman" w:cs="Times New Roman"/>
          <w:color w:val="000000" w:themeColor="text1"/>
          <w:sz w:val="24"/>
          <w:szCs w:val="24"/>
        </w:rPr>
      </w:pPr>
      <w:r w:rsidRPr="00F106BC">
        <w:rPr>
          <w:rFonts w:ascii="Times New Roman" w:hAnsi="Times New Roman" w:cs="Times New Roman"/>
          <w:color w:val="000000" w:themeColor="text1"/>
          <w:sz w:val="24"/>
          <w:szCs w:val="24"/>
        </w:rPr>
        <w:lastRenderedPageBreak/>
        <w:t xml:space="preserve">K bodu </w:t>
      </w:r>
      <w:r w:rsidR="004A6E4C">
        <w:rPr>
          <w:rFonts w:ascii="Times New Roman" w:hAnsi="Times New Roman" w:cs="Times New Roman"/>
          <w:color w:val="000000" w:themeColor="text1"/>
          <w:sz w:val="24"/>
          <w:szCs w:val="24"/>
        </w:rPr>
        <w:t>6</w:t>
      </w:r>
      <w:r w:rsidRPr="00F106BC">
        <w:rPr>
          <w:rFonts w:ascii="Times New Roman" w:hAnsi="Times New Roman" w:cs="Times New Roman"/>
          <w:color w:val="000000" w:themeColor="text1"/>
          <w:sz w:val="24"/>
          <w:szCs w:val="24"/>
        </w:rPr>
        <w:t xml:space="preserve"> (§ 11 ods. 5)</w:t>
      </w:r>
    </w:p>
    <w:p w14:paraId="50F6A67E" w14:textId="77777777" w:rsidR="00A45592" w:rsidRPr="00F106BC" w:rsidRDefault="00A45592" w:rsidP="00A45592">
      <w:pPr>
        <w:spacing w:beforeLines="20" w:before="48" w:afterLines="40" w:after="96" w:line="240" w:lineRule="auto"/>
        <w:jc w:val="both"/>
        <w:rPr>
          <w:rFonts w:ascii="Times New Roman" w:hAnsi="Times New Roman" w:cs="Times New Roman"/>
          <w:color w:val="000000" w:themeColor="text1"/>
          <w:sz w:val="24"/>
          <w:szCs w:val="24"/>
        </w:rPr>
      </w:pPr>
      <w:r w:rsidRPr="00F106BC">
        <w:rPr>
          <w:rFonts w:ascii="Times New Roman" w:hAnsi="Times New Roman" w:cs="Times New Roman"/>
          <w:color w:val="000000" w:themeColor="text1"/>
          <w:sz w:val="24"/>
          <w:szCs w:val="24"/>
        </w:rPr>
        <w:t xml:space="preserve">Zavádza sa povinnosť pre obce informovať </w:t>
      </w:r>
      <w:r w:rsidRPr="00F106BC">
        <w:rPr>
          <w:rFonts w:ascii="Times New Roman" w:eastAsia="Times New Roman" w:hAnsi="Times New Roman" w:cs="Times New Roman"/>
          <w:bCs/>
          <w:color w:val="000000" w:themeColor="text1"/>
          <w:sz w:val="24"/>
          <w:szCs w:val="24"/>
          <w:lang w:eastAsia="sk-SK"/>
        </w:rPr>
        <w:t xml:space="preserve">o výške výnosu z miestneho poplatku za rozvoj a jeho použití </w:t>
      </w:r>
      <w:r w:rsidRPr="00F106BC">
        <w:rPr>
          <w:rFonts w:ascii="Times New Roman" w:hAnsi="Times New Roman" w:cs="Times New Roman"/>
          <w:color w:val="000000" w:themeColor="text1"/>
          <w:sz w:val="24"/>
          <w:szCs w:val="24"/>
        </w:rPr>
        <w:t>za účelom zvýšenia transparentnosti nakladania s verejnými zdrojmi. Zvyšuje sa tým možnosť pre obyvateľov obce podieľať sa na tvorbe verejných politík a zvyšovať adresnosť plánovaných investícií.</w:t>
      </w:r>
    </w:p>
    <w:p w14:paraId="215E044B" w14:textId="77777777" w:rsidR="00A45592" w:rsidRPr="00F106BC" w:rsidRDefault="00A45592" w:rsidP="00A45592">
      <w:pPr>
        <w:spacing w:beforeLines="20" w:before="48" w:afterLines="40" w:after="96" w:line="240" w:lineRule="auto"/>
        <w:jc w:val="both"/>
        <w:rPr>
          <w:rFonts w:ascii="Times New Roman" w:hAnsi="Times New Roman" w:cs="Times New Roman"/>
          <w:color w:val="000000" w:themeColor="text1"/>
          <w:sz w:val="24"/>
          <w:szCs w:val="24"/>
        </w:rPr>
      </w:pPr>
    </w:p>
    <w:p w14:paraId="2ED786E4" w14:textId="430BB9F0" w:rsidR="00A45592" w:rsidRPr="00F106BC" w:rsidRDefault="00A45592" w:rsidP="00A45592">
      <w:pPr>
        <w:spacing w:beforeLines="20" w:before="48" w:afterLines="40" w:after="96" w:line="240" w:lineRule="auto"/>
        <w:jc w:val="both"/>
        <w:rPr>
          <w:rFonts w:ascii="Times New Roman" w:hAnsi="Times New Roman" w:cs="Times New Roman"/>
          <w:color w:val="000000" w:themeColor="text1"/>
          <w:sz w:val="24"/>
          <w:szCs w:val="24"/>
        </w:rPr>
      </w:pPr>
      <w:r w:rsidRPr="00F106BC">
        <w:rPr>
          <w:rFonts w:ascii="Times New Roman" w:hAnsi="Times New Roman" w:cs="Times New Roman"/>
          <w:color w:val="000000" w:themeColor="text1"/>
          <w:sz w:val="24"/>
          <w:szCs w:val="24"/>
        </w:rPr>
        <w:t xml:space="preserve">K bodu </w:t>
      </w:r>
      <w:r w:rsidR="004A6E4C">
        <w:rPr>
          <w:rFonts w:ascii="Times New Roman" w:hAnsi="Times New Roman" w:cs="Times New Roman"/>
          <w:color w:val="000000" w:themeColor="text1"/>
          <w:sz w:val="24"/>
          <w:szCs w:val="24"/>
        </w:rPr>
        <w:t>7</w:t>
      </w:r>
      <w:r w:rsidRPr="00F106BC">
        <w:rPr>
          <w:rFonts w:ascii="Times New Roman" w:hAnsi="Times New Roman" w:cs="Times New Roman"/>
          <w:color w:val="000000" w:themeColor="text1"/>
          <w:sz w:val="24"/>
          <w:szCs w:val="24"/>
        </w:rPr>
        <w:t xml:space="preserve"> (§ 17)</w:t>
      </w:r>
    </w:p>
    <w:p w14:paraId="1D5EA3E9" w14:textId="77777777" w:rsidR="00A45592" w:rsidRPr="00F106BC" w:rsidRDefault="00A45592" w:rsidP="00A45592">
      <w:pPr>
        <w:spacing w:beforeLines="20" w:before="48" w:afterLines="40" w:after="96" w:line="240" w:lineRule="auto"/>
        <w:jc w:val="both"/>
        <w:rPr>
          <w:rFonts w:ascii="Times New Roman" w:hAnsi="Times New Roman" w:cs="Times New Roman"/>
          <w:color w:val="000000" w:themeColor="text1"/>
          <w:sz w:val="24"/>
          <w:szCs w:val="24"/>
        </w:rPr>
      </w:pPr>
      <w:r w:rsidRPr="00F106BC">
        <w:rPr>
          <w:rFonts w:ascii="Times New Roman" w:hAnsi="Times New Roman" w:cs="Times New Roman"/>
          <w:color w:val="000000" w:themeColor="text1"/>
          <w:sz w:val="24"/>
          <w:szCs w:val="24"/>
        </w:rPr>
        <w:t xml:space="preserve">Navrhuje sa, aby sa nová právna úprava § 11 ods. 2 a 4 mohla aplikovať aj na výnos z poplatku za rozvoj dosiahnutý pred nadobudnutím účinnosti tohto zákona. </w:t>
      </w:r>
    </w:p>
    <w:p w14:paraId="52C2D545" w14:textId="77777777" w:rsidR="00A45592" w:rsidRPr="00F106BC" w:rsidRDefault="00A45592" w:rsidP="00A45592">
      <w:pPr>
        <w:spacing w:beforeLines="20" w:before="48" w:afterLines="40" w:after="96" w:line="240" w:lineRule="auto"/>
        <w:jc w:val="both"/>
        <w:rPr>
          <w:rFonts w:ascii="Times New Roman" w:hAnsi="Times New Roman" w:cs="Times New Roman"/>
          <w:color w:val="000000" w:themeColor="text1"/>
          <w:sz w:val="24"/>
          <w:szCs w:val="24"/>
        </w:rPr>
      </w:pPr>
    </w:p>
    <w:p w14:paraId="177C97AD" w14:textId="77777777" w:rsidR="00A45592" w:rsidRPr="006D75DB" w:rsidRDefault="00A45592" w:rsidP="00A45592">
      <w:pPr>
        <w:pStyle w:val="Normlnywebov"/>
        <w:spacing w:beforeLines="20" w:before="48" w:beforeAutospacing="0" w:afterLines="40" w:after="96" w:afterAutospacing="0"/>
        <w:jc w:val="both"/>
        <w:rPr>
          <w:b/>
          <w:bCs/>
          <w:color w:val="000000" w:themeColor="text1"/>
        </w:rPr>
      </w:pPr>
      <w:r w:rsidRPr="006D75DB">
        <w:rPr>
          <w:b/>
          <w:bCs/>
          <w:color w:val="000000" w:themeColor="text1"/>
        </w:rPr>
        <w:t>K Čl. II (</w:t>
      </w:r>
      <w:r>
        <w:rPr>
          <w:b/>
          <w:bCs/>
          <w:color w:val="000000" w:themeColor="text1"/>
        </w:rPr>
        <w:t>z</w:t>
      </w:r>
      <w:r w:rsidRPr="006D75DB">
        <w:rPr>
          <w:b/>
          <w:bCs/>
          <w:color w:val="000000" w:themeColor="text1"/>
        </w:rPr>
        <w:t xml:space="preserve">ákon č. </w:t>
      </w:r>
      <w:r>
        <w:rPr>
          <w:b/>
          <w:bCs/>
          <w:color w:val="000000" w:themeColor="text1"/>
        </w:rPr>
        <w:t>25</w:t>
      </w:r>
      <w:r w:rsidRPr="006D75DB">
        <w:rPr>
          <w:b/>
          <w:bCs/>
          <w:color w:val="000000" w:themeColor="text1"/>
        </w:rPr>
        <w:t>/2025 Z. z.)</w:t>
      </w:r>
    </w:p>
    <w:p w14:paraId="21D398FF" w14:textId="28CC82FB" w:rsidR="00A45592" w:rsidRDefault="00A45592" w:rsidP="00A45592">
      <w:pPr>
        <w:pStyle w:val="Normlnywebov"/>
        <w:spacing w:beforeLines="20" w:before="48" w:beforeAutospacing="0" w:afterLines="40" w:after="96" w:afterAutospacing="0"/>
        <w:jc w:val="both"/>
        <w:rPr>
          <w:color w:val="000000" w:themeColor="text1"/>
        </w:rPr>
      </w:pPr>
      <w:r>
        <w:t>Za účelom zefektívnenia a zvýšenia stability výberu miestneho poplatku za rozvoj sa navrhuje</w:t>
      </w:r>
      <w:r w:rsidR="00232E46">
        <w:t>,</w:t>
      </w:r>
      <w:r>
        <w:t xml:space="preserve"> aby prílohou návrhu stavebníka bolo aj p</w:t>
      </w:r>
      <w:r w:rsidRPr="00260A84">
        <w:t>otvrdenie o uhradení miestneho poplatku za rozvoj, ak daný poplatok obec v mieste stavby vyberá</w:t>
      </w:r>
      <w:r>
        <w:t>.</w:t>
      </w:r>
    </w:p>
    <w:p w14:paraId="4DA13D9C" w14:textId="77777777" w:rsidR="00A45592" w:rsidRDefault="00A45592" w:rsidP="00A45592">
      <w:pPr>
        <w:pStyle w:val="Normlnywebov"/>
        <w:spacing w:beforeLines="20" w:before="48" w:beforeAutospacing="0" w:afterLines="40" w:after="96" w:afterAutospacing="0"/>
        <w:jc w:val="both"/>
        <w:rPr>
          <w:color w:val="000000" w:themeColor="text1"/>
        </w:rPr>
      </w:pPr>
    </w:p>
    <w:p w14:paraId="3DC574BF" w14:textId="77777777" w:rsidR="00A45592" w:rsidRPr="006D75DB" w:rsidRDefault="00A45592" w:rsidP="00A45592">
      <w:pPr>
        <w:pStyle w:val="Normlnywebov"/>
        <w:spacing w:beforeLines="20" w:before="48" w:beforeAutospacing="0" w:afterLines="40" w:after="96" w:afterAutospacing="0"/>
        <w:jc w:val="both"/>
        <w:rPr>
          <w:b/>
          <w:bCs/>
          <w:color w:val="000000" w:themeColor="text1"/>
        </w:rPr>
      </w:pPr>
      <w:r w:rsidRPr="006D75DB">
        <w:rPr>
          <w:b/>
          <w:bCs/>
          <w:color w:val="000000" w:themeColor="text1"/>
        </w:rPr>
        <w:t>K Čl. III</w:t>
      </w:r>
    </w:p>
    <w:p w14:paraId="5B1C8C84" w14:textId="77777777" w:rsidR="00A45592" w:rsidRPr="00F106BC" w:rsidRDefault="00A45592" w:rsidP="00A45592">
      <w:pPr>
        <w:pStyle w:val="Normlnywebov"/>
        <w:spacing w:beforeLines="20" w:before="48" w:beforeAutospacing="0" w:afterLines="40" w:after="96" w:afterAutospacing="0"/>
        <w:jc w:val="both"/>
        <w:rPr>
          <w:color w:val="000000" w:themeColor="text1"/>
        </w:rPr>
      </w:pPr>
      <w:r w:rsidRPr="00F106BC">
        <w:rPr>
          <w:color w:val="000000" w:themeColor="text1"/>
        </w:rPr>
        <w:t xml:space="preserve">Účinnosť predkladaného poslaneckého návrhu zákona sa navrhuje od 1. </w:t>
      </w:r>
      <w:r>
        <w:rPr>
          <w:color w:val="000000" w:themeColor="text1"/>
        </w:rPr>
        <w:t xml:space="preserve">januára </w:t>
      </w:r>
      <w:r w:rsidRPr="00F106BC">
        <w:rPr>
          <w:color w:val="000000" w:themeColor="text1"/>
        </w:rPr>
        <w:t>202</w:t>
      </w:r>
      <w:r>
        <w:rPr>
          <w:color w:val="000000" w:themeColor="text1"/>
        </w:rPr>
        <w:t>6</w:t>
      </w:r>
      <w:r w:rsidRPr="00F106BC">
        <w:rPr>
          <w:color w:val="000000" w:themeColor="text1"/>
        </w:rPr>
        <w:t>.</w:t>
      </w:r>
    </w:p>
    <w:p w14:paraId="71478894" w14:textId="77777777" w:rsidR="00A45592" w:rsidRPr="00EF718C" w:rsidRDefault="00A45592" w:rsidP="00A45592">
      <w:pPr>
        <w:spacing w:beforeLines="20" w:before="48" w:afterLines="40" w:after="96" w:line="240" w:lineRule="auto"/>
        <w:rPr>
          <w:rFonts w:ascii="Times New Roman" w:hAnsi="Times New Roman" w:cs="Times New Roman"/>
          <w:color w:val="000000" w:themeColor="text1"/>
        </w:rPr>
      </w:pPr>
    </w:p>
    <w:p w14:paraId="604F93CB" w14:textId="77777777" w:rsidR="00A45592" w:rsidRPr="00EF718C" w:rsidRDefault="00A45592" w:rsidP="00A45592">
      <w:pPr>
        <w:spacing w:beforeLines="20" w:before="48" w:afterLines="40" w:after="96" w:line="240" w:lineRule="auto"/>
        <w:jc w:val="both"/>
        <w:rPr>
          <w:rFonts w:ascii="Times New Roman" w:hAnsi="Times New Roman" w:cs="Times New Roman"/>
          <w:color w:val="000000" w:themeColor="text1"/>
          <w:shd w:val="clear" w:color="auto" w:fill="FFFFFF"/>
        </w:rPr>
      </w:pPr>
    </w:p>
    <w:p w14:paraId="0E830717" w14:textId="7F0F5BE3" w:rsidR="00BE1CD3" w:rsidRDefault="00BE1CD3"/>
    <w:sectPr w:rsidR="00BE1C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442D4"/>
    <w:multiLevelType w:val="multilevel"/>
    <w:tmpl w:val="9AE01AF8"/>
    <w:lvl w:ilvl="0">
      <w:start w:val="1"/>
      <w:numFmt w:val="upperLetter"/>
      <w:pStyle w:val="Nadpis1"/>
      <w:lvlText w:val="%1."/>
      <w:lvlJc w:val="left"/>
      <w:pPr>
        <w:tabs>
          <w:tab w:val="num" w:pos="747"/>
        </w:tabs>
        <w:ind w:left="747" w:hanging="567"/>
      </w:pPr>
      <w:rPr>
        <w:rFonts w:ascii="Times New Roman" w:hAnsi="Times New Roman" w:cs="Times New Roman" w:hint="default"/>
        <w:b/>
        <w:bCs/>
        <w:i w:val="0"/>
        <w:iCs w:val="0"/>
        <w:sz w:val="28"/>
        <w:szCs w:val="28"/>
      </w:rPr>
    </w:lvl>
    <w:lvl w:ilvl="1">
      <w:start w:val="1"/>
      <w:numFmt w:val="decimal"/>
      <w:pStyle w:val="Nadpis2"/>
      <w:lvlText w:val="%1.%2."/>
      <w:lvlJc w:val="left"/>
      <w:pPr>
        <w:tabs>
          <w:tab w:val="num" w:pos="1598"/>
        </w:tabs>
        <w:ind w:left="1598" w:hanging="851"/>
      </w:pPr>
      <w:rPr>
        <w:rFonts w:ascii="Times New Roman" w:hAnsi="Times New Roman" w:cs="Times New Roman" w:hint="default"/>
        <w:b w:val="0"/>
        <w:bCs w:val="0"/>
        <w:i w:val="0"/>
        <w:iCs w:val="0"/>
        <w:sz w:val="24"/>
        <w:szCs w:val="24"/>
      </w:rPr>
    </w:lvl>
    <w:lvl w:ilvl="2">
      <w:start w:val="1"/>
      <w:numFmt w:val="none"/>
      <w:lvlRestart w:val="0"/>
      <w:pStyle w:val="Nadpis3"/>
      <w:lvlText w:val=""/>
      <w:lvlJc w:val="left"/>
      <w:pPr>
        <w:tabs>
          <w:tab w:val="num" w:pos="1598"/>
        </w:tabs>
        <w:ind w:left="1598" w:hanging="851"/>
      </w:pPr>
      <w:rPr>
        <w:rFonts w:ascii="Times New Roman" w:hAnsi="Times New Roman" w:cs="Times New Roman" w:hint="default"/>
        <w:b w:val="0"/>
        <w:bCs w:val="0"/>
        <w:i w:val="0"/>
        <w:iCs w:val="0"/>
        <w:sz w:val="24"/>
        <w:szCs w:val="24"/>
      </w:rPr>
    </w:lvl>
    <w:lvl w:ilvl="3">
      <w:start w:val="1"/>
      <w:numFmt w:val="none"/>
      <w:pStyle w:val="Nadpis4"/>
      <w:lvlText w:val="%4"/>
      <w:lvlJc w:val="left"/>
      <w:pPr>
        <w:tabs>
          <w:tab w:val="num" w:pos="1598"/>
        </w:tabs>
        <w:ind w:left="1598" w:hanging="1418"/>
      </w:pPr>
      <w:rPr>
        <w:rFonts w:ascii="Times New Roman" w:hAnsi="Times New Roman" w:cs="Times New Roman" w:hint="default"/>
        <w:b w:val="0"/>
        <w:bCs w:val="0"/>
        <w:i/>
        <w:iCs/>
        <w:sz w:val="24"/>
        <w:szCs w:val="24"/>
      </w:rPr>
    </w:lvl>
    <w:lvl w:ilvl="4">
      <w:start w:val="1"/>
      <w:numFmt w:val="decimal"/>
      <w:pStyle w:val="Nadpis5"/>
      <w:lvlText w:val="(%5)"/>
      <w:lvlJc w:val="left"/>
      <w:pPr>
        <w:tabs>
          <w:tab w:val="num" w:pos="3420"/>
        </w:tabs>
        <w:ind w:left="3060"/>
      </w:pPr>
      <w:rPr>
        <w:rFonts w:cs="Times New Roman" w:hint="default"/>
      </w:rPr>
    </w:lvl>
    <w:lvl w:ilvl="5">
      <w:start w:val="1"/>
      <w:numFmt w:val="lowerLetter"/>
      <w:pStyle w:val="Nadpis6"/>
      <w:lvlText w:val="(%6)"/>
      <w:lvlJc w:val="left"/>
      <w:pPr>
        <w:tabs>
          <w:tab w:val="num" w:pos="4140"/>
        </w:tabs>
        <w:ind w:left="3780"/>
      </w:pPr>
      <w:rPr>
        <w:rFonts w:cs="Times New Roman" w:hint="default"/>
      </w:rPr>
    </w:lvl>
    <w:lvl w:ilvl="6">
      <w:start w:val="1"/>
      <w:numFmt w:val="lowerRoman"/>
      <w:pStyle w:val="Nadpis7"/>
      <w:lvlText w:val="(%7)"/>
      <w:lvlJc w:val="left"/>
      <w:pPr>
        <w:tabs>
          <w:tab w:val="num" w:pos="4860"/>
        </w:tabs>
        <w:ind w:left="4500"/>
      </w:pPr>
      <w:rPr>
        <w:rFonts w:cs="Times New Roman" w:hint="default"/>
      </w:rPr>
    </w:lvl>
    <w:lvl w:ilvl="7">
      <w:start w:val="1"/>
      <w:numFmt w:val="lowerLetter"/>
      <w:pStyle w:val="Nadpis8"/>
      <w:lvlText w:val="(%8)"/>
      <w:lvlJc w:val="left"/>
      <w:pPr>
        <w:tabs>
          <w:tab w:val="num" w:pos="5580"/>
        </w:tabs>
        <w:ind w:left="5220"/>
      </w:pPr>
      <w:rPr>
        <w:rFonts w:cs="Times New Roman" w:hint="default"/>
      </w:rPr>
    </w:lvl>
    <w:lvl w:ilvl="8">
      <w:start w:val="1"/>
      <w:numFmt w:val="lowerRoman"/>
      <w:pStyle w:val="Nadpis9"/>
      <w:lvlText w:val="(%9)"/>
      <w:lvlJc w:val="left"/>
      <w:pPr>
        <w:tabs>
          <w:tab w:val="num" w:pos="6300"/>
        </w:tabs>
        <w:ind w:left="5940"/>
      </w:pPr>
      <w:rPr>
        <w:rFonts w:cs="Times New Roman" w:hint="default"/>
      </w:rPr>
    </w:lvl>
  </w:abstractNum>
  <w:num w:numId="1" w16cid:durableId="1069185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592"/>
    <w:rsid w:val="00232E46"/>
    <w:rsid w:val="004A6E4C"/>
    <w:rsid w:val="007153FE"/>
    <w:rsid w:val="00866B7F"/>
    <w:rsid w:val="00937714"/>
    <w:rsid w:val="00A45592"/>
    <w:rsid w:val="00BE1CD3"/>
    <w:rsid w:val="00BE7C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0E823"/>
  <w15:chartTrackingRefBased/>
  <w15:docId w15:val="{75696C7D-EE36-4554-A2EB-DE580107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45592"/>
    <w:rPr>
      <w:kern w:val="0"/>
      <w14:ligatures w14:val="none"/>
    </w:rPr>
  </w:style>
  <w:style w:type="paragraph" w:styleId="Nadpis1">
    <w:name w:val="heading 1"/>
    <w:aliases w:val="Čo robí (časť)"/>
    <w:basedOn w:val="Normlny"/>
    <w:next w:val="Normlny"/>
    <w:link w:val="Nadpis1Char"/>
    <w:uiPriority w:val="9"/>
    <w:qFormat/>
    <w:rsid w:val="00A45592"/>
    <w:pPr>
      <w:keepNext/>
      <w:numPr>
        <w:numId w:val="1"/>
      </w:numPr>
      <w:spacing w:before="360" w:after="0" w:line="240" w:lineRule="auto"/>
      <w:outlineLvl w:val="0"/>
    </w:pPr>
    <w:rPr>
      <w:rFonts w:ascii="Times New Roman" w:eastAsia="Times New Roman" w:hAnsi="Times New Roman" w:cs="Times New Roman"/>
      <w:b/>
      <w:bCs/>
      <w:kern w:val="32"/>
      <w:sz w:val="28"/>
      <w:szCs w:val="28"/>
      <w:lang w:eastAsia="sk-SK"/>
    </w:rPr>
  </w:style>
  <w:style w:type="paragraph" w:styleId="Nadpis2">
    <w:name w:val="heading 2"/>
    <w:aliases w:val="Úloha"/>
    <w:basedOn w:val="Normlny"/>
    <w:link w:val="Nadpis2Char"/>
    <w:uiPriority w:val="9"/>
    <w:qFormat/>
    <w:rsid w:val="00A45592"/>
    <w:pPr>
      <w:numPr>
        <w:ilvl w:val="1"/>
        <w:numId w:val="1"/>
      </w:numPr>
      <w:spacing w:before="120" w:after="0" w:line="240" w:lineRule="auto"/>
      <w:jc w:val="both"/>
      <w:outlineLvl w:val="1"/>
    </w:pPr>
    <w:rPr>
      <w:rFonts w:ascii="Times New Roman" w:eastAsia="Times New Roman" w:hAnsi="Times New Roman" w:cs="Times New Roman"/>
      <w:sz w:val="24"/>
      <w:szCs w:val="24"/>
      <w:lang w:eastAsia="sk-SK"/>
    </w:rPr>
  </w:style>
  <w:style w:type="paragraph" w:styleId="Nadpis3">
    <w:name w:val="heading 3"/>
    <w:aliases w:val="Podúloha"/>
    <w:basedOn w:val="Normlny"/>
    <w:link w:val="Nadpis3Char"/>
    <w:uiPriority w:val="9"/>
    <w:qFormat/>
    <w:rsid w:val="00A45592"/>
    <w:pPr>
      <w:keepNext/>
      <w:numPr>
        <w:ilvl w:val="2"/>
        <w:numId w:val="1"/>
      </w:numPr>
      <w:spacing w:before="120" w:after="0" w:line="240" w:lineRule="auto"/>
      <w:ind w:left="2269"/>
      <w:outlineLvl w:val="2"/>
    </w:pPr>
    <w:rPr>
      <w:rFonts w:ascii="Times New Roman" w:eastAsia="Times New Roman" w:hAnsi="Times New Roman" w:cs="Times New Roman"/>
      <w:sz w:val="24"/>
      <w:szCs w:val="24"/>
      <w:lang w:eastAsia="sk-SK"/>
    </w:rPr>
  </w:style>
  <w:style w:type="paragraph" w:styleId="Nadpis4">
    <w:name w:val="heading 4"/>
    <w:aliases w:val="Termín"/>
    <w:basedOn w:val="Normlny"/>
    <w:next w:val="Nadpis2"/>
    <w:link w:val="Nadpis4Char"/>
    <w:uiPriority w:val="9"/>
    <w:qFormat/>
    <w:rsid w:val="00A45592"/>
    <w:pPr>
      <w:numPr>
        <w:ilvl w:val="3"/>
        <w:numId w:val="1"/>
      </w:numPr>
      <w:spacing w:before="120" w:after="120" w:line="240" w:lineRule="auto"/>
      <w:outlineLvl w:val="3"/>
    </w:pPr>
    <w:rPr>
      <w:rFonts w:ascii="Times New Roman" w:eastAsia="Times New Roman" w:hAnsi="Times New Roman" w:cs="Times New Roman"/>
      <w:i/>
      <w:iCs/>
      <w:sz w:val="24"/>
      <w:szCs w:val="24"/>
      <w:lang w:eastAsia="sk-SK"/>
    </w:rPr>
  </w:style>
  <w:style w:type="paragraph" w:styleId="Nadpis5">
    <w:name w:val="heading 5"/>
    <w:basedOn w:val="Normlny"/>
    <w:next w:val="Normlny"/>
    <w:link w:val="Nadpis5Char"/>
    <w:uiPriority w:val="9"/>
    <w:qFormat/>
    <w:rsid w:val="00A45592"/>
    <w:pPr>
      <w:numPr>
        <w:ilvl w:val="4"/>
        <w:numId w:val="1"/>
      </w:numPr>
      <w:spacing w:before="240" w:after="60" w:line="240" w:lineRule="auto"/>
      <w:outlineLvl w:val="4"/>
    </w:pPr>
    <w:rPr>
      <w:rFonts w:ascii="Times New Roman" w:eastAsia="Times New Roman" w:hAnsi="Times New Roman" w:cs="Times New Roman"/>
      <w:b/>
      <w:bCs/>
      <w:i/>
      <w:iCs/>
      <w:sz w:val="26"/>
      <w:szCs w:val="26"/>
      <w:lang w:eastAsia="sk-SK"/>
    </w:rPr>
  </w:style>
  <w:style w:type="paragraph" w:styleId="Nadpis6">
    <w:name w:val="heading 6"/>
    <w:basedOn w:val="Normlny"/>
    <w:next w:val="Normlny"/>
    <w:link w:val="Nadpis6Char"/>
    <w:uiPriority w:val="9"/>
    <w:qFormat/>
    <w:rsid w:val="00A45592"/>
    <w:pPr>
      <w:numPr>
        <w:ilvl w:val="5"/>
        <w:numId w:val="1"/>
      </w:numPr>
      <w:spacing w:before="240" w:after="60" w:line="240" w:lineRule="auto"/>
      <w:outlineLvl w:val="5"/>
    </w:pPr>
    <w:rPr>
      <w:rFonts w:ascii="Times New Roman" w:eastAsia="Times New Roman" w:hAnsi="Times New Roman" w:cs="Times New Roman"/>
      <w:b/>
      <w:bCs/>
      <w:lang w:eastAsia="sk-SK"/>
    </w:rPr>
  </w:style>
  <w:style w:type="paragraph" w:styleId="Nadpis7">
    <w:name w:val="heading 7"/>
    <w:basedOn w:val="Normlny"/>
    <w:next w:val="Normlny"/>
    <w:link w:val="Nadpis7Char"/>
    <w:uiPriority w:val="9"/>
    <w:qFormat/>
    <w:rsid w:val="00A45592"/>
    <w:pPr>
      <w:numPr>
        <w:ilvl w:val="6"/>
        <w:numId w:val="1"/>
      </w:numPr>
      <w:spacing w:before="240" w:after="60" w:line="240" w:lineRule="auto"/>
      <w:outlineLvl w:val="6"/>
    </w:pPr>
    <w:rPr>
      <w:rFonts w:ascii="Times New Roman" w:eastAsia="Times New Roman" w:hAnsi="Times New Roman" w:cs="Times New Roman"/>
      <w:sz w:val="24"/>
      <w:szCs w:val="24"/>
      <w:lang w:eastAsia="sk-SK"/>
    </w:rPr>
  </w:style>
  <w:style w:type="paragraph" w:styleId="Nadpis8">
    <w:name w:val="heading 8"/>
    <w:basedOn w:val="Normlny"/>
    <w:next w:val="Normlny"/>
    <w:link w:val="Nadpis8Char"/>
    <w:uiPriority w:val="9"/>
    <w:qFormat/>
    <w:rsid w:val="00A45592"/>
    <w:pPr>
      <w:numPr>
        <w:ilvl w:val="7"/>
        <w:numId w:val="1"/>
      </w:numPr>
      <w:spacing w:before="240" w:after="60" w:line="240" w:lineRule="auto"/>
      <w:outlineLvl w:val="7"/>
    </w:pPr>
    <w:rPr>
      <w:rFonts w:ascii="Times New Roman" w:eastAsia="Times New Roman" w:hAnsi="Times New Roman" w:cs="Times New Roman"/>
      <w:i/>
      <w:iCs/>
      <w:sz w:val="24"/>
      <w:szCs w:val="24"/>
      <w:lang w:eastAsia="sk-SK"/>
    </w:rPr>
  </w:style>
  <w:style w:type="paragraph" w:styleId="Nadpis9">
    <w:name w:val="heading 9"/>
    <w:basedOn w:val="Normlny"/>
    <w:next w:val="Normlny"/>
    <w:link w:val="Nadpis9Char"/>
    <w:uiPriority w:val="9"/>
    <w:qFormat/>
    <w:rsid w:val="00A45592"/>
    <w:pPr>
      <w:numPr>
        <w:ilvl w:val="8"/>
        <w:numId w:val="1"/>
      </w:numPr>
      <w:spacing w:before="240" w:after="60" w:line="240" w:lineRule="auto"/>
      <w:outlineLvl w:val="8"/>
    </w:pPr>
    <w:rPr>
      <w:rFonts w:ascii="Arial" w:eastAsia="Times New Roman"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Čo robí (časť) Char"/>
    <w:basedOn w:val="Predvolenpsmoodseku"/>
    <w:link w:val="Nadpis1"/>
    <w:uiPriority w:val="9"/>
    <w:rsid w:val="00A45592"/>
    <w:rPr>
      <w:rFonts w:ascii="Times New Roman" w:eastAsia="Times New Roman" w:hAnsi="Times New Roman" w:cs="Times New Roman"/>
      <w:b/>
      <w:bCs/>
      <w:kern w:val="32"/>
      <w:sz w:val="28"/>
      <w:szCs w:val="28"/>
      <w:lang w:eastAsia="sk-SK"/>
      <w14:ligatures w14:val="none"/>
    </w:rPr>
  </w:style>
  <w:style w:type="character" w:customStyle="1" w:styleId="Nadpis2Char">
    <w:name w:val="Nadpis 2 Char"/>
    <w:aliases w:val="Úloha Char"/>
    <w:basedOn w:val="Predvolenpsmoodseku"/>
    <w:link w:val="Nadpis2"/>
    <w:uiPriority w:val="9"/>
    <w:rsid w:val="00A45592"/>
    <w:rPr>
      <w:rFonts w:ascii="Times New Roman" w:eastAsia="Times New Roman" w:hAnsi="Times New Roman" w:cs="Times New Roman"/>
      <w:kern w:val="0"/>
      <w:sz w:val="24"/>
      <w:szCs w:val="24"/>
      <w:lang w:eastAsia="sk-SK"/>
      <w14:ligatures w14:val="none"/>
    </w:rPr>
  </w:style>
  <w:style w:type="character" w:customStyle="1" w:styleId="Nadpis3Char">
    <w:name w:val="Nadpis 3 Char"/>
    <w:aliases w:val="Podúloha Char"/>
    <w:basedOn w:val="Predvolenpsmoodseku"/>
    <w:link w:val="Nadpis3"/>
    <w:uiPriority w:val="9"/>
    <w:rsid w:val="00A45592"/>
    <w:rPr>
      <w:rFonts w:ascii="Times New Roman" w:eastAsia="Times New Roman" w:hAnsi="Times New Roman" w:cs="Times New Roman"/>
      <w:kern w:val="0"/>
      <w:sz w:val="24"/>
      <w:szCs w:val="24"/>
      <w:lang w:eastAsia="sk-SK"/>
      <w14:ligatures w14:val="none"/>
    </w:rPr>
  </w:style>
  <w:style w:type="character" w:customStyle="1" w:styleId="Nadpis4Char">
    <w:name w:val="Nadpis 4 Char"/>
    <w:aliases w:val="Termín Char"/>
    <w:basedOn w:val="Predvolenpsmoodseku"/>
    <w:link w:val="Nadpis4"/>
    <w:uiPriority w:val="9"/>
    <w:rsid w:val="00A45592"/>
    <w:rPr>
      <w:rFonts w:ascii="Times New Roman" w:eastAsia="Times New Roman" w:hAnsi="Times New Roman" w:cs="Times New Roman"/>
      <w:i/>
      <w:iCs/>
      <w:kern w:val="0"/>
      <w:sz w:val="24"/>
      <w:szCs w:val="24"/>
      <w:lang w:eastAsia="sk-SK"/>
      <w14:ligatures w14:val="none"/>
    </w:rPr>
  </w:style>
  <w:style w:type="character" w:customStyle="1" w:styleId="Nadpis5Char">
    <w:name w:val="Nadpis 5 Char"/>
    <w:basedOn w:val="Predvolenpsmoodseku"/>
    <w:link w:val="Nadpis5"/>
    <w:uiPriority w:val="9"/>
    <w:rsid w:val="00A45592"/>
    <w:rPr>
      <w:rFonts w:ascii="Times New Roman" w:eastAsia="Times New Roman" w:hAnsi="Times New Roman" w:cs="Times New Roman"/>
      <w:b/>
      <w:bCs/>
      <w:i/>
      <w:iCs/>
      <w:kern w:val="0"/>
      <w:sz w:val="26"/>
      <w:szCs w:val="26"/>
      <w:lang w:eastAsia="sk-SK"/>
      <w14:ligatures w14:val="none"/>
    </w:rPr>
  </w:style>
  <w:style w:type="character" w:customStyle="1" w:styleId="Nadpis6Char">
    <w:name w:val="Nadpis 6 Char"/>
    <w:basedOn w:val="Predvolenpsmoodseku"/>
    <w:link w:val="Nadpis6"/>
    <w:uiPriority w:val="9"/>
    <w:rsid w:val="00A45592"/>
    <w:rPr>
      <w:rFonts w:ascii="Times New Roman" w:eastAsia="Times New Roman" w:hAnsi="Times New Roman" w:cs="Times New Roman"/>
      <w:b/>
      <w:bCs/>
      <w:kern w:val="0"/>
      <w:lang w:eastAsia="sk-SK"/>
      <w14:ligatures w14:val="none"/>
    </w:rPr>
  </w:style>
  <w:style w:type="character" w:customStyle="1" w:styleId="Nadpis7Char">
    <w:name w:val="Nadpis 7 Char"/>
    <w:basedOn w:val="Predvolenpsmoodseku"/>
    <w:link w:val="Nadpis7"/>
    <w:uiPriority w:val="9"/>
    <w:rsid w:val="00A45592"/>
    <w:rPr>
      <w:rFonts w:ascii="Times New Roman" w:eastAsia="Times New Roman" w:hAnsi="Times New Roman" w:cs="Times New Roman"/>
      <w:kern w:val="0"/>
      <w:sz w:val="24"/>
      <w:szCs w:val="24"/>
      <w:lang w:eastAsia="sk-SK"/>
      <w14:ligatures w14:val="none"/>
    </w:rPr>
  </w:style>
  <w:style w:type="character" w:customStyle="1" w:styleId="Nadpis8Char">
    <w:name w:val="Nadpis 8 Char"/>
    <w:basedOn w:val="Predvolenpsmoodseku"/>
    <w:link w:val="Nadpis8"/>
    <w:uiPriority w:val="9"/>
    <w:rsid w:val="00A45592"/>
    <w:rPr>
      <w:rFonts w:ascii="Times New Roman" w:eastAsia="Times New Roman" w:hAnsi="Times New Roman" w:cs="Times New Roman"/>
      <w:i/>
      <w:iCs/>
      <w:kern w:val="0"/>
      <w:sz w:val="24"/>
      <w:szCs w:val="24"/>
      <w:lang w:eastAsia="sk-SK"/>
      <w14:ligatures w14:val="none"/>
    </w:rPr>
  </w:style>
  <w:style w:type="character" w:customStyle="1" w:styleId="Nadpis9Char">
    <w:name w:val="Nadpis 9 Char"/>
    <w:basedOn w:val="Predvolenpsmoodseku"/>
    <w:link w:val="Nadpis9"/>
    <w:uiPriority w:val="9"/>
    <w:rsid w:val="00A45592"/>
    <w:rPr>
      <w:rFonts w:ascii="Arial" w:eastAsia="Times New Roman" w:hAnsi="Arial" w:cs="Arial"/>
      <w:kern w:val="0"/>
      <w:lang w:eastAsia="sk-SK"/>
      <w14:ligatures w14:val="none"/>
    </w:rPr>
  </w:style>
  <w:style w:type="paragraph" w:styleId="Nzov">
    <w:name w:val="Title"/>
    <w:basedOn w:val="Normlny"/>
    <w:link w:val="NzovChar"/>
    <w:uiPriority w:val="10"/>
    <w:qFormat/>
    <w:rsid w:val="00A45592"/>
    <w:pPr>
      <w:spacing w:after="0" w:line="240" w:lineRule="auto"/>
      <w:jc w:val="center"/>
    </w:pPr>
    <w:rPr>
      <w:rFonts w:ascii="Verdana" w:eastAsia="Times New Roman" w:hAnsi="Verdana" w:cs="Verdana"/>
      <w:b/>
      <w:bCs/>
      <w:sz w:val="24"/>
      <w:szCs w:val="24"/>
      <w:lang w:eastAsia="sk-SK"/>
    </w:rPr>
  </w:style>
  <w:style w:type="character" w:customStyle="1" w:styleId="NzovChar">
    <w:name w:val="Názov Char"/>
    <w:basedOn w:val="Predvolenpsmoodseku"/>
    <w:link w:val="Nzov"/>
    <w:uiPriority w:val="10"/>
    <w:rsid w:val="00A45592"/>
    <w:rPr>
      <w:rFonts w:ascii="Verdana" w:eastAsia="Times New Roman" w:hAnsi="Verdana" w:cs="Verdana"/>
      <w:b/>
      <w:bCs/>
      <w:kern w:val="0"/>
      <w:sz w:val="24"/>
      <w:szCs w:val="24"/>
      <w:lang w:eastAsia="sk-SK"/>
      <w14:ligatures w14:val="none"/>
    </w:rPr>
  </w:style>
  <w:style w:type="paragraph" w:styleId="Normlnywebov">
    <w:name w:val="Normal (Web)"/>
    <w:aliases w:val="webb"/>
    <w:basedOn w:val="Normlny"/>
    <w:uiPriority w:val="99"/>
    <w:qFormat/>
    <w:rsid w:val="00A4559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aliases w:val="Odsek 1.,Odsek,body,Odsek zoznamu2,List Paragraph,Farebný zoznam – zvýraznenie 11,Lettre d'introduction,Paragrafo elenco,1st level - Bullet List Paragraph,Odsek zoznamu21,Odstavec_muj,Nad,Odstavec cíl se seznamem,Odstavec se seznamem5,Nad1"/>
    <w:basedOn w:val="Normlny"/>
    <w:link w:val="OdsekzoznamuChar"/>
    <w:uiPriority w:val="34"/>
    <w:qFormat/>
    <w:rsid w:val="00A45592"/>
    <w:pPr>
      <w:ind w:left="720"/>
      <w:contextualSpacing/>
    </w:pPr>
  </w:style>
  <w:style w:type="character" w:customStyle="1" w:styleId="OdsekzoznamuChar">
    <w:name w:val="Odsek zoznamu Char"/>
    <w:aliases w:val="Odsek 1. Char,Odsek Char,body Char,Odsek zoznamu2 Char,List Paragraph Char,Farebný zoznam – zvýraznenie 11 Char,Lettre d'introduction Char,Paragrafo elenco Char,1st level - Bullet List Paragraph Char,Odsek zoznamu21 Char,Nad Char"/>
    <w:link w:val="Odsekzoznamu"/>
    <w:uiPriority w:val="34"/>
    <w:qFormat/>
    <w:rsid w:val="00A45592"/>
    <w:rPr>
      <w:kern w:val="0"/>
      <w14:ligatures w14:val="none"/>
    </w:rPr>
  </w:style>
  <w:style w:type="paragraph" w:styleId="Bezriadkovania">
    <w:name w:val="No Spacing"/>
    <w:uiPriority w:val="1"/>
    <w:qFormat/>
    <w:rsid w:val="00A45592"/>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mraz\Desktop\Miestny%20rozvoj.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mraz\Desktop\Miestny%20rozvoj.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mraz\Desktop\Miestny%20rozvoj.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40" b="0" i="0" u="none" strike="noStrike" kern="1200" cap="all" spc="0" baseline="0">
              <a:solidFill>
                <a:sysClr val="windowText" lastClr="000000"/>
              </a:solidFill>
              <a:latin typeface="+mn-lt"/>
              <a:ea typeface="+mn-ea"/>
              <a:cs typeface="+mn-cs"/>
            </a:defRPr>
          </a:pPr>
          <a:endParaRPr lang="sk-SK"/>
        </a:p>
      </c:txPr>
    </c:title>
    <c:autoTitleDeleted val="0"/>
    <c:plotArea>
      <c:layout/>
      <c:lineChart>
        <c:grouping val="standard"/>
        <c:varyColors val="0"/>
        <c:ser>
          <c:idx val="0"/>
          <c:order val="0"/>
          <c:tx>
            <c:strRef>
              <c:f>SR!$A$4</c:f>
              <c:strCache>
                <c:ptCount val="1"/>
                <c:pt idx="0">
                  <c:v>Mestá (bez BA, KE)</c:v>
                </c:pt>
              </c:strCache>
            </c:strRef>
          </c:tx>
          <c:spPr>
            <a:ln w="19050" cap="rnd" cmpd="sng" algn="ctr">
              <a:solidFill>
                <a:schemeClr val="accent1">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sk-SK"/>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(SR!$B$2,SR!$D$2,SR!$F$2,SR!$H$2,SR!$J$2,SR!$L$2)</c:f>
              <c:numCache>
                <c:formatCode>General</c:formatCode>
                <c:ptCount val="6"/>
                <c:pt idx="0">
                  <c:v>2018</c:v>
                </c:pt>
                <c:pt idx="1">
                  <c:v>2019</c:v>
                </c:pt>
                <c:pt idx="2">
                  <c:v>2020</c:v>
                </c:pt>
                <c:pt idx="3">
                  <c:v>2021</c:v>
                </c:pt>
                <c:pt idx="4">
                  <c:v>2022</c:v>
                </c:pt>
                <c:pt idx="5">
                  <c:v>2023</c:v>
                </c:pt>
              </c:numCache>
            </c:numRef>
          </c:cat>
          <c:val>
            <c:numRef>
              <c:f>(SR!$B$4,SR!$D$4,SR!$F$4,SR!$H$4,SR!$J$4,SR!$L$4)</c:f>
              <c:numCache>
                <c:formatCode>General</c:formatCode>
                <c:ptCount val="6"/>
                <c:pt idx="0">
                  <c:v>11</c:v>
                </c:pt>
                <c:pt idx="1">
                  <c:v>13</c:v>
                </c:pt>
                <c:pt idx="2">
                  <c:v>24</c:v>
                </c:pt>
                <c:pt idx="3">
                  <c:v>24</c:v>
                </c:pt>
                <c:pt idx="4">
                  <c:v>28</c:v>
                </c:pt>
                <c:pt idx="5">
                  <c:v>34</c:v>
                </c:pt>
              </c:numCache>
              <c:extLst/>
            </c:numRef>
          </c:val>
          <c:smooth val="1"/>
          <c:extLst>
            <c:ext xmlns:c16="http://schemas.microsoft.com/office/drawing/2014/chart" uri="{C3380CC4-5D6E-409C-BE32-E72D297353CC}">
              <c16:uniqueId val="{00000000-D1A4-4546-8C38-A272EEE03F4A}"/>
            </c:ext>
          </c:extLst>
        </c:ser>
        <c:dLbls>
          <c:dLblPos val="ctr"/>
          <c:showLegendKey val="0"/>
          <c:showVal val="1"/>
          <c:showCatName val="0"/>
          <c:showSerName val="0"/>
          <c:showPercent val="0"/>
          <c:showBubbleSize val="0"/>
        </c:dLbls>
        <c:marker val="1"/>
        <c:smooth val="0"/>
        <c:axId val="932574392"/>
        <c:axId val="932577632"/>
      </c:lineChart>
      <c:catAx>
        <c:axId val="932574392"/>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sk-SK"/>
                  <a:t>Rok</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k-SK"/>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sk-SK"/>
          </a:p>
        </c:txPr>
        <c:crossAx val="932577632"/>
        <c:crosses val="autoZero"/>
        <c:auto val="1"/>
        <c:lblAlgn val="ctr"/>
        <c:lblOffset val="100"/>
        <c:noMultiLvlLbl val="0"/>
      </c:catAx>
      <c:valAx>
        <c:axId val="932577632"/>
        <c:scaling>
          <c:orientation val="minMax"/>
        </c:scaling>
        <c:delete val="1"/>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sk-SK"/>
                  <a:t>Počet</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k-SK"/>
            </a:p>
          </c:txPr>
        </c:title>
        <c:numFmt formatCode="General" sourceLinked="1"/>
        <c:majorTickMark val="none"/>
        <c:minorTickMark val="none"/>
        <c:tickLblPos val="nextTo"/>
        <c:crossAx val="932574392"/>
        <c:crosses val="autoZero"/>
        <c:crossBetween val="between"/>
      </c:valAx>
      <c:spPr>
        <a:noFill/>
        <a:ln>
          <a:noFill/>
        </a:ln>
        <a:effectLst/>
      </c:spPr>
    </c:plotArea>
    <c:plotVisOnly val="1"/>
    <c:dispBlanksAs val="gap"/>
    <c:showDLblsOverMax val="0"/>
  </c:chart>
  <c:spPr>
    <a:solidFill>
      <a:schemeClr val="lt1"/>
    </a:solidFill>
    <a:ln w="9525" cap="flat" cmpd="sng" algn="ctr">
      <a:noFill/>
      <a:round/>
    </a:ln>
    <a:effectLst/>
  </c:spPr>
  <c:txPr>
    <a:bodyPr/>
    <a:lstStyle/>
    <a:p>
      <a:pPr>
        <a:defRPr>
          <a:solidFill>
            <a:sysClr val="windowText" lastClr="000000"/>
          </a:solidFill>
        </a:defRPr>
      </a:pPr>
      <a:endParaRPr lang="sk-SK"/>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40" b="0" i="0" u="none" strike="noStrike" kern="1200" cap="all" spc="0" baseline="0">
              <a:solidFill>
                <a:sysClr val="windowText" lastClr="000000"/>
              </a:solidFill>
              <a:latin typeface="+mn-lt"/>
              <a:ea typeface="+mn-ea"/>
              <a:cs typeface="+mn-cs"/>
            </a:defRPr>
          </a:pPr>
          <a:endParaRPr lang="sk-SK"/>
        </a:p>
      </c:txPr>
    </c:title>
    <c:autoTitleDeleted val="0"/>
    <c:plotArea>
      <c:layout/>
      <c:lineChart>
        <c:grouping val="standard"/>
        <c:varyColors val="0"/>
        <c:ser>
          <c:idx val="0"/>
          <c:order val="0"/>
          <c:tx>
            <c:strRef>
              <c:f>SR!$A$5</c:f>
              <c:strCache>
                <c:ptCount val="1"/>
                <c:pt idx="0">
                  <c:v>Obce</c:v>
                </c:pt>
              </c:strCache>
            </c:strRef>
          </c:tx>
          <c:spPr>
            <a:ln w="19050" cap="rnd" cmpd="sng" algn="ctr">
              <a:solidFill>
                <a:schemeClr val="accent1">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sk-SK"/>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(SR!$B$2,SR!$D$2,SR!$F$2,SR!$H$2,SR!$J$2,SR!$L$2)</c:f>
              <c:numCache>
                <c:formatCode>General</c:formatCode>
                <c:ptCount val="6"/>
                <c:pt idx="0">
                  <c:v>2018</c:v>
                </c:pt>
                <c:pt idx="1">
                  <c:v>2019</c:v>
                </c:pt>
                <c:pt idx="2">
                  <c:v>2020</c:v>
                </c:pt>
                <c:pt idx="3">
                  <c:v>2021</c:v>
                </c:pt>
                <c:pt idx="4">
                  <c:v>2022</c:v>
                </c:pt>
                <c:pt idx="5">
                  <c:v>2023</c:v>
                </c:pt>
              </c:numCache>
            </c:numRef>
          </c:cat>
          <c:val>
            <c:numRef>
              <c:f>(SR!$B$5,SR!$D$5,SR!$F$5,SR!$H$5,SR!$J$5,SR!$L$5)</c:f>
              <c:numCache>
                <c:formatCode>General</c:formatCode>
                <c:ptCount val="6"/>
                <c:pt idx="0">
                  <c:v>67</c:v>
                </c:pt>
                <c:pt idx="1">
                  <c:v>87</c:v>
                </c:pt>
                <c:pt idx="2">
                  <c:v>144</c:v>
                </c:pt>
                <c:pt idx="3">
                  <c:v>193</c:v>
                </c:pt>
                <c:pt idx="4">
                  <c:v>234</c:v>
                </c:pt>
                <c:pt idx="5">
                  <c:v>280</c:v>
                </c:pt>
              </c:numCache>
              <c:extLst/>
            </c:numRef>
          </c:val>
          <c:smooth val="1"/>
          <c:extLst>
            <c:ext xmlns:c16="http://schemas.microsoft.com/office/drawing/2014/chart" uri="{C3380CC4-5D6E-409C-BE32-E72D297353CC}">
              <c16:uniqueId val="{00000000-C92F-490A-A62F-A01088D20D0D}"/>
            </c:ext>
          </c:extLst>
        </c:ser>
        <c:dLbls>
          <c:dLblPos val="ctr"/>
          <c:showLegendKey val="0"/>
          <c:showVal val="1"/>
          <c:showCatName val="0"/>
          <c:showSerName val="0"/>
          <c:showPercent val="0"/>
          <c:showBubbleSize val="0"/>
        </c:dLbls>
        <c:marker val="1"/>
        <c:smooth val="0"/>
        <c:axId val="932574392"/>
        <c:axId val="932577632"/>
      </c:lineChart>
      <c:catAx>
        <c:axId val="932574392"/>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sk-SK"/>
                  <a:t>Rok</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k-SK"/>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sk-SK"/>
          </a:p>
        </c:txPr>
        <c:crossAx val="932577632"/>
        <c:crosses val="autoZero"/>
        <c:auto val="1"/>
        <c:lblAlgn val="ctr"/>
        <c:lblOffset val="100"/>
        <c:noMultiLvlLbl val="0"/>
      </c:catAx>
      <c:valAx>
        <c:axId val="932577632"/>
        <c:scaling>
          <c:orientation val="minMax"/>
        </c:scaling>
        <c:delete val="1"/>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sk-SK"/>
                  <a:t>Počet</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k-SK"/>
            </a:p>
          </c:txPr>
        </c:title>
        <c:numFmt formatCode="General" sourceLinked="1"/>
        <c:majorTickMark val="none"/>
        <c:minorTickMark val="none"/>
        <c:tickLblPos val="nextTo"/>
        <c:crossAx val="932574392"/>
        <c:crosses val="autoZero"/>
        <c:crossBetween val="between"/>
      </c:valAx>
      <c:spPr>
        <a:noFill/>
        <a:ln>
          <a:noFill/>
        </a:ln>
        <a:effectLst/>
      </c:spPr>
    </c:plotArea>
    <c:plotVisOnly val="1"/>
    <c:dispBlanksAs val="gap"/>
    <c:showDLblsOverMax val="0"/>
  </c:chart>
  <c:spPr>
    <a:solidFill>
      <a:schemeClr val="lt1"/>
    </a:solidFill>
    <a:ln w="9525" cap="flat" cmpd="sng" algn="ctr">
      <a:noFill/>
      <a:round/>
    </a:ln>
    <a:effectLst/>
  </c:spPr>
  <c:txPr>
    <a:bodyPr/>
    <a:lstStyle/>
    <a:p>
      <a:pPr>
        <a:defRPr>
          <a:solidFill>
            <a:sysClr val="windowText" lastClr="000000"/>
          </a:solidFill>
        </a:defRPr>
      </a:pPr>
      <a:endParaRPr lang="sk-SK"/>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40" b="0" i="0" u="none" strike="noStrike" kern="1200" cap="all" spc="0" baseline="0">
                <a:solidFill>
                  <a:sysClr val="windowText" lastClr="000000"/>
                </a:solidFill>
                <a:latin typeface="+mn-lt"/>
                <a:ea typeface="+mn-ea"/>
                <a:cs typeface="+mn-cs"/>
              </a:defRPr>
            </a:pPr>
            <a:r>
              <a:rPr lang="sk-SK"/>
              <a:t>Mestské časti</a:t>
            </a:r>
          </a:p>
        </c:rich>
      </c:tx>
      <c:overlay val="0"/>
      <c:spPr>
        <a:noFill/>
        <a:ln>
          <a:noFill/>
        </a:ln>
        <a:effectLst/>
      </c:spPr>
      <c:txPr>
        <a:bodyPr rot="0" spcFirstLastPara="1" vertOverflow="ellipsis" vert="horz" wrap="square" anchor="ctr" anchorCtr="1"/>
        <a:lstStyle/>
        <a:p>
          <a:pPr>
            <a:defRPr sz="1440" b="0" i="0" u="none" strike="noStrike" kern="1200" cap="all" spc="0" baseline="0">
              <a:solidFill>
                <a:sysClr val="windowText" lastClr="000000"/>
              </a:solidFill>
              <a:latin typeface="+mn-lt"/>
              <a:ea typeface="+mn-ea"/>
              <a:cs typeface="+mn-cs"/>
            </a:defRPr>
          </a:pPr>
          <a:endParaRPr lang="sk-SK"/>
        </a:p>
      </c:txPr>
    </c:title>
    <c:autoTitleDeleted val="0"/>
    <c:plotArea>
      <c:layout>
        <c:manualLayout>
          <c:layoutTarget val="inner"/>
          <c:xMode val="edge"/>
          <c:yMode val="edge"/>
          <c:x val="5.67519349689466E-2"/>
          <c:y val="0.29821459817522811"/>
          <c:w val="0.91826226151032653"/>
          <c:h val="0.27460129983752035"/>
        </c:manualLayout>
      </c:layout>
      <c:lineChart>
        <c:grouping val="standard"/>
        <c:varyColors val="0"/>
        <c:ser>
          <c:idx val="0"/>
          <c:order val="0"/>
          <c:tx>
            <c:strRef>
              <c:f>SR!$A$6</c:f>
              <c:strCache>
                <c:ptCount val="1"/>
                <c:pt idx="0">
                  <c:v>Mestské časti BA</c:v>
                </c:pt>
              </c:strCache>
            </c:strRef>
          </c:tx>
          <c:spPr>
            <a:ln w="19050" cap="rnd" cmpd="sng" algn="ctr">
              <a:solidFill>
                <a:schemeClr val="accent1">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sk-SK"/>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(SR!$B$2,SR!$D$2,SR!$F$2,SR!$H$2,SR!$J$2,SR!$L$2)</c:f>
              <c:numCache>
                <c:formatCode>General</c:formatCode>
                <c:ptCount val="6"/>
                <c:pt idx="0">
                  <c:v>2018</c:v>
                </c:pt>
                <c:pt idx="1">
                  <c:v>2019</c:v>
                </c:pt>
                <c:pt idx="2">
                  <c:v>2020</c:v>
                </c:pt>
                <c:pt idx="3">
                  <c:v>2021</c:v>
                </c:pt>
                <c:pt idx="4">
                  <c:v>2022</c:v>
                </c:pt>
                <c:pt idx="5">
                  <c:v>2023</c:v>
                </c:pt>
              </c:numCache>
            </c:numRef>
          </c:cat>
          <c:val>
            <c:numRef>
              <c:f>(SR!$B$6,SR!$D$6,SR!$F$6,SR!$H$6,SR!$J$6,SR!$L$6)</c:f>
              <c:numCache>
                <c:formatCode>General</c:formatCode>
                <c:ptCount val="6"/>
                <c:pt idx="0">
                  <c:v>12</c:v>
                </c:pt>
                <c:pt idx="1">
                  <c:v>14</c:v>
                </c:pt>
                <c:pt idx="2">
                  <c:v>14</c:v>
                </c:pt>
                <c:pt idx="3">
                  <c:v>16</c:v>
                </c:pt>
                <c:pt idx="4">
                  <c:v>16</c:v>
                </c:pt>
                <c:pt idx="5">
                  <c:v>16</c:v>
                </c:pt>
              </c:numCache>
              <c:extLst/>
            </c:numRef>
          </c:val>
          <c:smooth val="1"/>
          <c:extLst>
            <c:ext xmlns:c16="http://schemas.microsoft.com/office/drawing/2014/chart" uri="{C3380CC4-5D6E-409C-BE32-E72D297353CC}">
              <c16:uniqueId val="{00000000-A139-4970-8DE0-B4FE24B22D51}"/>
            </c:ext>
          </c:extLst>
        </c:ser>
        <c:ser>
          <c:idx val="1"/>
          <c:order val="1"/>
          <c:tx>
            <c:strRef>
              <c:f>SR!$A$7</c:f>
              <c:strCache>
                <c:ptCount val="1"/>
                <c:pt idx="0">
                  <c:v>Mestské časti KE</c:v>
                </c:pt>
              </c:strCache>
            </c:strRef>
          </c:tx>
          <c:spPr>
            <a:ln w="19050" cap="rnd" cmpd="sng" algn="ctr">
              <a:solidFill>
                <a:schemeClr val="accent2">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sk-SK"/>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(SR!$B$2,SR!$D$2,SR!$F$2,SR!$H$2,SR!$J$2,SR!$L$2)</c:f>
              <c:numCache>
                <c:formatCode>General</c:formatCode>
                <c:ptCount val="6"/>
                <c:pt idx="0">
                  <c:v>2018</c:v>
                </c:pt>
                <c:pt idx="1">
                  <c:v>2019</c:v>
                </c:pt>
                <c:pt idx="2">
                  <c:v>2020</c:v>
                </c:pt>
                <c:pt idx="3">
                  <c:v>2021</c:v>
                </c:pt>
                <c:pt idx="4">
                  <c:v>2022</c:v>
                </c:pt>
                <c:pt idx="5">
                  <c:v>2023</c:v>
                </c:pt>
              </c:numCache>
            </c:numRef>
          </c:cat>
          <c:val>
            <c:numRef>
              <c:f>(SR!$B$7,SR!$D$7,SR!$F$7,SR!$H$7,SR!$J$7,SR!$L$7)</c:f>
              <c:numCache>
                <c:formatCode>General</c:formatCode>
                <c:ptCount val="6"/>
                <c:pt idx="0">
                  <c:v>0</c:v>
                </c:pt>
                <c:pt idx="1">
                  <c:v>0</c:v>
                </c:pt>
                <c:pt idx="2">
                  <c:v>0</c:v>
                </c:pt>
                <c:pt idx="3">
                  <c:v>12</c:v>
                </c:pt>
                <c:pt idx="4">
                  <c:v>13</c:v>
                </c:pt>
                <c:pt idx="5">
                  <c:v>12</c:v>
                </c:pt>
              </c:numCache>
              <c:extLst/>
            </c:numRef>
          </c:val>
          <c:smooth val="1"/>
          <c:extLst>
            <c:ext xmlns:c16="http://schemas.microsoft.com/office/drawing/2014/chart" uri="{C3380CC4-5D6E-409C-BE32-E72D297353CC}">
              <c16:uniqueId val="{00000001-A139-4970-8DE0-B4FE24B22D51}"/>
            </c:ext>
          </c:extLst>
        </c:ser>
        <c:dLbls>
          <c:dLblPos val="ctr"/>
          <c:showLegendKey val="0"/>
          <c:showVal val="1"/>
          <c:showCatName val="0"/>
          <c:showSerName val="0"/>
          <c:showPercent val="0"/>
          <c:showBubbleSize val="0"/>
        </c:dLbls>
        <c:marker val="1"/>
        <c:smooth val="0"/>
        <c:axId val="932574392"/>
        <c:axId val="932577632"/>
      </c:lineChart>
      <c:catAx>
        <c:axId val="932574392"/>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sk-SK"/>
                  <a:t>Rok</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k-SK"/>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sk-SK"/>
          </a:p>
        </c:txPr>
        <c:crossAx val="932577632"/>
        <c:crosses val="autoZero"/>
        <c:auto val="1"/>
        <c:lblAlgn val="ctr"/>
        <c:lblOffset val="100"/>
        <c:noMultiLvlLbl val="0"/>
      </c:catAx>
      <c:valAx>
        <c:axId val="932577632"/>
        <c:scaling>
          <c:orientation val="minMax"/>
          <c:min val="0"/>
        </c:scaling>
        <c:delete val="1"/>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sk-SK"/>
                  <a:t>Počet</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k-SK"/>
            </a:p>
          </c:txPr>
        </c:title>
        <c:numFmt formatCode="General" sourceLinked="1"/>
        <c:majorTickMark val="none"/>
        <c:minorTickMark val="none"/>
        <c:tickLblPos val="nextTo"/>
        <c:crossAx val="932574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k-SK"/>
        </a:p>
      </c:txPr>
    </c:legend>
    <c:plotVisOnly val="1"/>
    <c:dispBlanksAs val="gap"/>
    <c:showDLblsOverMax val="0"/>
  </c:chart>
  <c:spPr>
    <a:solidFill>
      <a:schemeClr val="lt1"/>
    </a:solidFill>
    <a:ln w="9525" cap="flat" cmpd="sng" algn="ctr">
      <a:noFill/>
      <a:round/>
    </a:ln>
    <a:effectLst/>
  </c:spPr>
  <c:txPr>
    <a:bodyPr/>
    <a:lstStyle/>
    <a:p>
      <a:pPr>
        <a:defRPr>
          <a:solidFill>
            <a:sysClr val="windowText" lastClr="000000"/>
          </a:solidFill>
        </a:defRPr>
      </a:pPr>
      <a:endParaRPr lang="sk-SK"/>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4">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00" kern="120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cs:styleClr val="auto"/>
    </cs:fontRef>
    <cs:spPr/>
    <cs:defRPr sz="900" b="1" i="0" u="none" strike="noStrike" kern="1200" baseline="0"/>
  </cs:dataLabel>
  <cs:dataLabelCallout>
    <cs:lnRef idx="0"/>
    <cs:fillRef idx="0"/>
    <cs:effectRef idx="0"/>
    <cs:fontRef idx="minor">
      <a:schemeClr val="dk1">
        <a:lumMod val="65000"/>
        <a:lumOff val="35000"/>
      </a:schemeClr>
    </cs:fontRef>
    <cs:spPr>
      <a:solidFill>
        <a:schemeClr val="lt1"/>
      </a:solidFill>
      <a:ln w="9575">
        <a:solidFill>
          <a:schemeClr val="lt1">
            <a:lumMod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19050" cap="rnd" cmpd="sng" algn="ctr">
        <a:solidFill>
          <a:schemeClr val="phClr">
            <a:shade val="95000"/>
            <a:satMod val="105000"/>
          </a:schemeClr>
        </a:solidFill>
        <a:round/>
      </a:ln>
    </cs:spPr>
  </cs:dataPointLine>
  <cs:dataPointMarker>
    <cs:lnRef idx="0"/>
    <cs:fillRef idx="0"/>
    <cs:effectRef idx="0"/>
    <cs:fontRef idx="minor">
      <a:schemeClr val="dk1"/>
    </cs:fontRef>
    <cs:spPr>
      <a:solidFill>
        <a:schemeClr val="lt1"/>
      </a:solidFill>
    </cs:spPr>
  </cs:dataPointMarker>
  <cs:dataPointMarkerLayout symbol="circle" size="17"/>
  <cs:dataPointWireframe>
    <cs:lnRef idx="0">
      <cs:styleClr val="auto"/>
    </cs:lnRef>
    <cs:fillRef idx="1"/>
    <cs:effectRef idx="0"/>
    <cs:fontRef idx="minor">
      <a:schemeClr val="dk1"/>
    </cs:fontRef>
    <cs:spPr>
      <a:ln w="9525">
        <a:solidFill>
          <a:schemeClr val="phClr"/>
        </a:solidFill>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35000"/>
            <a:lumOff val="65000"/>
          </a:schemeClr>
        </a:solidFill>
      </a:ln>
    </cs:spPr>
  </cs:dropLine>
  <cs:errorBar>
    <cs:lnRef idx="0"/>
    <cs:fillRef idx="0"/>
    <cs:effectRef idx="0"/>
    <cs:fontRef idx="minor">
      <a:schemeClr val="dk1"/>
    </cs:fontRef>
    <cs:spPr>
      <a:ln w="9525">
        <a:solidFill>
          <a:schemeClr val="dk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ln>
    </cs:spPr>
  </cs:seriesLine>
  <cs:title>
    <cs:lnRef idx="0"/>
    <cs:fillRef idx="0"/>
    <cs:effectRef idx="0"/>
    <cs:fontRef idx="minor">
      <a:schemeClr val="dk1"/>
    </cs:fontRef>
    <cs:defRPr sz="1440" b="0" kern="1200" cap="all" spc="0" baseline="0">
      <a:gradFill>
        <a:gsLst>
          <a:gs pos="0">
            <a:schemeClr val="dk1">
              <a:lumMod val="50000"/>
              <a:lumOff val="50000"/>
            </a:schemeClr>
          </a:gs>
          <a:gs pos="100000">
            <a:schemeClr val="dk1">
              <a:lumMod val="85000"/>
              <a:lumOff val="15000"/>
            </a:schemeClr>
          </a:gs>
        </a:gsLst>
        <a:lin ang="5400000" scaled="0"/>
      </a:gradFill>
    </cs:defRPr>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4">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00" kern="120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cs:styleClr val="auto"/>
    </cs:fontRef>
    <cs:spPr/>
    <cs:defRPr sz="900" b="1" i="0" u="none" strike="noStrike" kern="1200" baseline="0"/>
  </cs:dataLabel>
  <cs:dataLabelCallout>
    <cs:lnRef idx="0"/>
    <cs:fillRef idx="0"/>
    <cs:effectRef idx="0"/>
    <cs:fontRef idx="minor">
      <a:schemeClr val="dk1">
        <a:lumMod val="65000"/>
        <a:lumOff val="35000"/>
      </a:schemeClr>
    </cs:fontRef>
    <cs:spPr>
      <a:solidFill>
        <a:schemeClr val="lt1"/>
      </a:solidFill>
      <a:ln w="9575">
        <a:solidFill>
          <a:schemeClr val="lt1">
            <a:lumMod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19050" cap="rnd" cmpd="sng" algn="ctr">
        <a:solidFill>
          <a:schemeClr val="phClr">
            <a:shade val="95000"/>
            <a:satMod val="105000"/>
          </a:schemeClr>
        </a:solidFill>
        <a:round/>
      </a:ln>
    </cs:spPr>
  </cs:dataPointLine>
  <cs:dataPointMarker>
    <cs:lnRef idx="0"/>
    <cs:fillRef idx="0"/>
    <cs:effectRef idx="0"/>
    <cs:fontRef idx="minor">
      <a:schemeClr val="dk1"/>
    </cs:fontRef>
    <cs:spPr>
      <a:solidFill>
        <a:schemeClr val="lt1"/>
      </a:solidFill>
    </cs:spPr>
  </cs:dataPointMarker>
  <cs:dataPointMarkerLayout symbol="circle" size="17"/>
  <cs:dataPointWireframe>
    <cs:lnRef idx="0">
      <cs:styleClr val="auto"/>
    </cs:lnRef>
    <cs:fillRef idx="1"/>
    <cs:effectRef idx="0"/>
    <cs:fontRef idx="minor">
      <a:schemeClr val="dk1"/>
    </cs:fontRef>
    <cs:spPr>
      <a:ln w="9525">
        <a:solidFill>
          <a:schemeClr val="phClr"/>
        </a:solidFill>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35000"/>
            <a:lumOff val="65000"/>
          </a:schemeClr>
        </a:solidFill>
      </a:ln>
    </cs:spPr>
  </cs:dropLine>
  <cs:errorBar>
    <cs:lnRef idx="0"/>
    <cs:fillRef idx="0"/>
    <cs:effectRef idx="0"/>
    <cs:fontRef idx="minor">
      <a:schemeClr val="dk1"/>
    </cs:fontRef>
    <cs:spPr>
      <a:ln w="9525">
        <a:solidFill>
          <a:schemeClr val="dk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ln>
    </cs:spPr>
  </cs:seriesLine>
  <cs:title>
    <cs:lnRef idx="0"/>
    <cs:fillRef idx="0"/>
    <cs:effectRef idx="0"/>
    <cs:fontRef idx="minor">
      <a:schemeClr val="dk1"/>
    </cs:fontRef>
    <cs:defRPr sz="1440" b="0" kern="1200" cap="all" spc="0" baseline="0">
      <a:gradFill>
        <a:gsLst>
          <a:gs pos="0">
            <a:schemeClr val="dk1">
              <a:lumMod val="50000"/>
              <a:lumOff val="50000"/>
            </a:schemeClr>
          </a:gs>
          <a:gs pos="100000">
            <a:schemeClr val="dk1">
              <a:lumMod val="85000"/>
              <a:lumOff val="15000"/>
            </a:schemeClr>
          </a:gs>
        </a:gsLst>
        <a:lin ang="5400000" scaled="0"/>
      </a:gradFill>
    </cs:defRPr>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34">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00" kern="120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cs:styleClr val="auto"/>
    </cs:fontRef>
    <cs:spPr/>
    <cs:defRPr sz="900" b="1" i="0" u="none" strike="noStrike" kern="1200" baseline="0"/>
  </cs:dataLabel>
  <cs:dataLabelCallout>
    <cs:lnRef idx="0"/>
    <cs:fillRef idx="0"/>
    <cs:effectRef idx="0"/>
    <cs:fontRef idx="minor">
      <a:schemeClr val="dk1">
        <a:lumMod val="65000"/>
        <a:lumOff val="35000"/>
      </a:schemeClr>
    </cs:fontRef>
    <cs:spPr>
      <a:solidFill>
        <a:schemeClr val="lt1"/>
      </a:solidFill>
      <a:ln w="9575">
        <a:solidFill>
          <a:schemeClr val="lt1">
            <a:lumMod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19050" cap="rnd" cmpd="sng" algn="ctr">
        <a:solidFill>
          <a:schemeClr val="phClr">
            <a:shade val="95000"/>
            <a:satMod val="105000"/>
          </a:schemeClr>
        </a:solidFill>
        <a:round/>
      </a:ln>
    </cs:spPr>
  </cs:dataPointLine>
  <cs:dataPointMarker>
    <cs:lnRef idx="0"/>
    <cs:fillRef idx="0"/>
    <cs:effectRef idx="0"/>
    <cs:fontRef idx="minor">
      <a:schemeClr val="dk1"/>
    </cs:fontRef>
    <cs:spPr>
      <a:solidFill>
        <a:schemeClr val="lt1"/>
      </a:solidFill>
    </cs:spPr>
  </cs:dataPointMarker>
  <cs:dataPointMarkerLayout symbol="circle" size="17"/>
  <cs:dataPointWireframe>
    <cs:lnRef idx="0">
      <cs:styleClr val="auto"/>
    </cs:lnRef>
    <cs:fillRef idx="1"/>
    <cs:effectRef idx="0"/>
    <cs:fontRef idx="minor">
      <a:schemeClr val="dk1"/>
    </cs:fontRef>
    <cs:spPr>
      <a:ln w="9525">
        <a:solidFill>
          <a:schemeClr val="phClr"/>
        </a:solidFill>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35000"/>
            <a:lumOff val="65000"/>
          </a:schemeClr>
        </a:solidFill>
      </a:ln>
    </cs:spPr>
  </cs:dropLine>
  <cs:errorBar>
    <cs:lnRef idx="0"/>
    <cs:fillRef idx="0"/>
    <cs:effectRef idx="0"/>
    <cs:fontRef idx="minor">
      <a:schemeClr val="dk1"/>
    </cs:fontRef>
    <cs:spPr>
      <a:ln w="9525">
        <a:solidFill>
          <a:schemeClr val="dk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ln>
    </cs:spPr>
  </cs:seriesLine>
  <cs:title>
    <cs:lnRef idx="0"/>
    <cs:fillRef idx="0"/>
    <cs:effectRef idx="0"/>
    <cs:fontRef idx="minor">
      <a:schemeClr val="dk1"/>
    </cs:fontRef>
    <cs:defRPr sz="1440" b="0" kern="1200" cap="all" spc="0" baseline="0">
      <a:gradFill>
        <a:gsLst>
          <a:gs pos="0">
            <a:schemeClr val="dk1">
              <a:lumMod val="50000"/>
              <a:lumOff val="50000"/>
            </a:schemeClr>
          </a:gs>
          <a:gs pos="100000">
            <a:schemeClr val="dk1">
              <a:lumMod val="85000"/>
              <a:lumOff val="15000"/>
            </a:schemeClr>
          </a:gs>
        </a:gsLst>
        <a:lin ang="5400000" scaled="0"/>
      </a:gradFill>
    </cs:defRPr>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5</Pages>
  <Words>1477</Words>
  <Characters>8421</Characters>
  <Application>Microsoft Office Word</Application>
  <DocSecurity>0</DocSecurity>
  <Lines>70</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Janíková, Michaela</dc:creator>
  <cp:keywords/>
  <dc:description/>
  <cp:lastModifiedBy>Metodika@skdp.sk</cp:lastModifiedBy>
  <cp:revision>2</cp:revision>
  <dcterms:created xsi:type="dcterms:W3CDTF">2025-03-10T07:52:00Z</dcterms:created>
  <dcterms:modified xsi:type="dcterms:W3CDTF">2025-03-10T07:52:00Z</dcterms:modified>
</cp:coreProperties>
</file>