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01D6F" w14:textId="58974ADB" w:rsidR="006C7F87" w:rsidRPr="00F12C48" w:rsidRDefault="001A47D3" w:rsidP="008434AF">
      <w:pPr>
        <w:pStyle w:val="Pagedecouverture"/>
        <w:rPr>
          <w:noProof/>
        </w:rPr>
      </w:pPr>
      <w:r>
        <w:rPr>
          <w:noProof/>
        </w:rPr>
        <w:drawing>
          <wp:inline distT="0" distB="0" distL="0" distR="0" wp14:anchorId="7D9CC64B" wp14:editId="011332FA">
            <wp:extent cx="5783580" cy="5410200"/>
            <wp:effectExtent l="0" t="0" r="0" b="0"/>
            <wp:docPr id="1" name="Obrázok 1" descr="4CA23413-2376-43E5-B864-9697F100CF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CA23413-2376-43E5-B864-9697F100CFB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3580" cy="5410200"/>
                    </a:xfrm>
                    <a:prstGeom prst="rect">
                      <a:avLst/>
                    </a:prstGeom>
                    <a:noFill/>
                    <a:ln>
                      <a:noFill/>
                    </a:ln>
                  </pic:spPr>
                </pic:pic>
              </a:graphicData>
            </a:graphic>
          </wp:inline>
        </w:drawing>
      </w:r>
    </w:p>
    <w:p w14:paraId="424625E9" w14:textId="77777777" w:rsidR="006C7F87" w:rsidRPr="00F12C48" w:rsidRDefault="006C7F87" w:rsidP="006C7F87">
      <w:pPr>
        <w:rPr>
          <w:noProof/>
        </w:rPr>
        <w:sectPr w:rsidR="006C7F87" w:rsidRPr="00F12C48" w:rsidSect="008434AF">
          <w:footerReference w:type="even" r:id="rId12"/>
          <w:footerReference w:type="default" r:id="rId13"/>
          <w:pgSz w:w="11907" w:h="16839"/>
          <w:pgMar w:top="1134" w:right="1417" w:bottom="1134" w:left="1417" w:header="709" w:footer="709" w:gutter="0"/>
          <w:pgNumType w:start="0"/>
          <w:cols w:space="720"/>
          <w:docGrid w:linePitch="360"/>
        </w:sectPr>
      </w:pPr>
    </w:p>
    <w:p w14:paraId="18292C6C" w14:textId="77777777" w:rsidR="006C7F87" w:rsidRPr="00F12C48" w:rsidRDefault="006C7F87" w:rsidP="0094068A">
      <w:pPr>
        <w:pStyle w:val="Exposdesmotifstitre"/>
        <w:rPr>
          <w:noProof/>
        </w:rPr>
      </w:pPr>
      <w:r w:rsidRPr="00F12C48">
        <w:rPr>
          <w:noProof/>
        </w:rPr>
        <w:lastRenderedPageBreak/>
        <w:t>DÔVODOVÁ SPRÁVA</w:t>
      </w:r>
    </w:p>
    <w:p w14:paraId="7E99D75D" w14:textId="77777777" w:rsidR="006C7F87" w:rsidRPr="00F12C48" w:rsidRDefault="006C7F87" w:rsidP="0094068A">
      <w:pPr>
        <w:pStyle w:val="ManualHeading1"/>
        <w:rPr>
          <w:noProof/>
        </w:rPr>
      </w:pPr>
      <w:r w:rsidRPr="00F12C48">
        <w:rPr>
          <w:noProof/>
        </w:rPr>
        <w:t>1.</w:t>
      </w:r>
      <w:r w:rsidRPr="00F12C48">
        <w:rPr>
          <w:noProof/>
        </w:rPr>
        <w:tab/>
        <w:t>KONTEXT NÁVRHU</w:t>
      </w:r>
    </w:p>
    <w:p w14:paraId="6EE80A76" w14:textId="50BBA87A" w:rsidR="006C7F87" w:rsidRPr="00F12C48" w:rsidRDefault="006C7F87" w:rsidP="0094068A">
      <w:pPr>
        <w:pStyle w:val="ManualHeading2"/>
        <w:rPr>
          <w:rFonts w:eastAsia="Arial Unicode MS"/>
          <w:noProof/>
        </w:rPr>
      </w:pPr>
      <w:r w:rsidRPr="00F12C48">
        <w:rPr>
          <w:noProof/>
          <w:color w:val="000000"/>
          <w:u w:color="000000"/>
          <w:bdr w:val="nil"/>
        </w:rPr>
        <w:t>•</w:t>
      </w:r>
      <w:r w:rsidRPr="00F12C48">
        <w:rPr>
          <w:noProof/>
        </w:rPr>
        <w:tab/>
        <w:t>Dôvody</w:t>
      </w:r>
      <w:r w:rsidR="00F12C48">
        <w:rPr>
          <w:noProof/>
        </w:rPr>
        <w:t xml:space="preserve"> a </w:t>
      </w:r>
      <w:r w:rsidRPr="00F12C48">
        <w:rPr>
          <w:noProof/>
        </w:rPr>
        <w:t>ciele návrhu</w:t>
      </w:r>
    </w:p>
    <w:p w14:paraId="56E63E7C" w14:textId="5B1DB4F2" w:rsidR="00A53DB0" w:rsidRPr="00F12C48" w:rsidRDefault="00A53DB0" w:rsidP="00A53DB0">
      <w:pPr>
        <w:pBdr>
          <w:top w:val="nil"/>
          <w:left w:val="nil"/>
          <w:bottom w:val="nil"/>
          <w:right w:val="nil"/>
          <w:between w:val="nil"/>
          <w:bar w:val="nil"/>
        </w:pBdr>
        <w:spacing w:before="0" w:after="240"/>
        <w:rPr>
          <w:rStyle w:val="normaltextrun"/>
          <w:noProof/>
          <w:u w:val="single"/>
        </w:rPr>
      </w:pPr>
      <w:r w:rsidRPr="00F12C48">
        <w:rPr>
          <w:rStyle w:val="normaltextrun"/>
          <w:noProof/>
          <w:u w:val="single"/>
        </w:rPr>
        <w:t>Všeobecný kontext</w:t>
      </w:r>
      <w:r w:rsidR="00F12C48">
        <w:rPr>
          <w:rStyle w:val="normaltextrun"/>
          <w:noProof/>
          <w:u w:val="single"/>
        </w:rPr>
        <w:t xml:space="preserve"> a </w:t>
      </w:r>
      <w:r w:rsidRPr="00F12C48">
        <w:rPr>
          <w:rStyle w:val="normaltextrun"/>
          <w:noProof/>
          <w:u w:val="single"/>
        </w:rPr>
        <w:t>ciele</w:t>
      </w:r>
    </w:p>
    <w:p w14:paraId="42399A7E" w14:textId="0BF6A007" w:rsidR="00F12C48" w:rsidRDefault="004875CD" w:rsidP="004875CD">
      <w:pPr>
        <w:tabs>
          <w:tab w:val="num" w:pos="709"/>
        </w:tabs>
        <w:rPr>
          <w:noProof/>
        </w:rPr>
      </w:pPr>
      <w:r w:rsidRPr="00F12C48">
        <w:rPr>
          <w:noProof/>
        </w:rPr>
        <w:t>Mario Draghi vo svojej správe</w:t>
      </w:r>
      <w:r w:rsidR="00F12C48">
        <w:rPr>
          <w:noProof/>
        </w:rPr>
        <w:t xml:space="preserve"> o </w:t>
      </w:r>
      <w:r w:rsidRPr="00F12C48">
        <w:rPr>
          <w:noProof/>
        </w:rPr>
        <w:t>budúcnosti európskej konkurencieschopnosti zdôraznil, že je nevyhnutné, aby Európa vytvorila regulačné prostredie, ktoré povzbudí konkurencieschopnosť</w:t>
      </w:r>
      <w:r w:rsidR="00F12C48">
        <w:rPr>
          <w:noProof/>
        </w:rPr>
        <w:t xml:space="preserve"> a </w:t>
      </w:r>
      <w:r w:rsidRPr="00F12C48">
        <w:rPr>
          <w:noProof/>
        </w:rPr>
        <w:t>odolnosť, pričom upriamil pozornosť na zaťaženie</w:t>
      </w:r>
      <w:r w:rsidR="00F12C48">
        <w:rPr>
          <w:noProof/>
        </w:rPr>
        <w:t xml:space="preserve"> a </w:t>
      </w:r>
      <w:r w:rsidRPr="00F12C48">
        <w:rPr>
          <w:noProof/>
        </w:rPr>
        <w:t>náklady na dodržiavanie predpisov vytvorené smernicou</w:t>
      </w:r>
      <w:r w:rsidR="00F12C48">
        <w:rPr>
          <w:noProof/>
        </w:rPr>
        <w:t xml:space="preserve"> o </w:t>
      </w:r>
      <w:r w:rsidRPr="00F12C48">
        <w:rPr>
          <w:noProof/>
        </w:rPr>
        <w:t>vykazovaní informácií</w:t>
      </w:r>
      <w:r w:rsidR="00F12C48">
        <w:rPr>
          <w:noProof/>
        </w:rPr>
        <w:t xml:space="preserve"> o </w:t>
      </w:r>
      <w:r w:rsidRPr="00F12C48">
        <w:rPr>
          <w:noProof/>
        </w:rPr>
        <w:t>udržateľnosti podnikov (CSRD)</w:t>
      </w:r>
      <w:r w:rsidR="00F12C48">
        <w:rPr>
          <w:noProof/>
        </w:rPr>
        <w:t xml:space="preserve"> a </w:t>
      </w:r>
      <w:r w:rsidRPr="00F12C48">
        <w:rPr>
          <w:noProof/>
        </w:rPr>
        <w:t>smernicou</w:t>
      </w:r>
      <w:r w:rsidR="00F12C48">
        <w:rPr>
          <w:noProof/>
        </w:rPr>
        <w:t xml:space="preserve"> o </w:t>
      </w:r>
      <w:r w:rsidRPr="00F12C48">
        <w:rPr>
          <w:noProof/>
        </w:rPr>
        <w:t>náležitej starostlivosti podnikov</w:t>
      </w:r>
      <w:r w:rsidR="00F12C48">
        <w:rPr>
          <w:noProof/>
        </w:rPr>
        <w:t xml:space="preserve"> v </w:t>
      </w:r>
      <w:r w:rsidRPr="00F12C48">
        <w:rPr>
          <w:noProof/>
        </w:rPr>
        <w:t>oblasti udržateľnosti (CSDDD)</w:t>
      </w:r>
      <w:r w:rsidRPr="00F12C48">
        <w:rPr>
          <w:rStyle w:val="Odkaznapoznmkupodiarou"/>
          <w:noProof/>
        </w:rPr>
        <w:footnoteReference w:id="2"/>
      </w:r>
      <w:r w:rsidRPr="00F12C48">
        <w:rPr>
          <w:noProof/>
        </w:rPr>
        <w:t>. Hlavy štátov</w:t>
      </w:r>
      <w:r w:rsidR="00F12C48">
        <w:rPr>
          <w:noProof/>
        </w:rPr>
        <w:t xml:space="preserve"> a </w:t>
      </w:r>
      <w:r w:rsidRPr="00F12C48">
        <w:rPr>
          <w:noProof/>
        </w:rPr>
        <w:t>predsedovia vlád EÚ vo vyhlásení</w:t>
      </w:r>
      <w:r w:rsidR="00F12C48">
        <w:rPr>
          <w:noProof/>
        </w:rPr>
        <w:t xml:space="preserve"> z </w:t>
      </w:r>
      <w:r w:rsidRPr="00F12C48">
        <w:rPr>
          <w:noProof/>
        </w:rPr>
        <w:t>Budapešti</w:t>
      </w:r>
      <w:r w:rsidR="00F12C48">
        <w:rPr>
          <w:noProof/>
        </w:rPr>
        <w:t xml:space="preserve"> o </w:t>
      </w:r>
      <w:r w:rsidRPr="00F12C48">
        <w:rPr>
          <w:noProof/>
        </w:rPr>
        <w:t>novej dohode</w:t>
      </w:r>
      <w:r w:rsidR="00F12C48">
        <w:rPr>
          <w:noProof/>
        </w:rPr>
        <w:t xml:space="preserve"> o </w:t>
      </w:r>
      <w:r w:rsidRPr="00F12C48">
        <w:rPr>
          <w:noProof/>
        </w:rPr>
        <w:t>konkurencieschopnosti Európy vyzvali na „začatie zjednodušovacej revolúcie, ktorou sa zabezpečí jasný, jednoduchý</w:t>
      </w:r>
      <w:r w:rsidR="00F12C48">
        <w:rPr>
          <w:noProof/>
        </w:rPr>
        <w:t xml:space="preserve"> a </w:t>
      </w:r>
      <w:r w:rsidRPr="00F12C48">
        <w:rPr>
          <w:noProof/>
        </w:rPr>
        <w:t>inteligentný regulačný rámec pre podniky</w:t>
      </w:r>
      <w:r w:rsidR="00F12C48">
        <w:rPr>
          <w:noProof/>
        </w:rPr>
        <w:t xml:space="preserve"> a </w:t>
      </w:r>
      <w:r w:rsidRPr="00F12C48">
        <w:rPr>
          <w:noProof/>
        </w:rPr>
        <w:t>ktorou sa drasticky zjednoduší administratívne, regulačné</w:t>
      </w:r>
      <w:r w:rsidR="00F12C48">
        <w:rPr>
          <w:noProof/>
        </w:rPr>
        <w:t xml:space="preserve"> a </w:t>
      </w:r>
      <w:r w:rsidRPr="00F12C48">
        <w:rPr>
          <w:noProof/>
        </w:rPr>
        <w:t>vykazovacie zaťaženie, najmä pre MSP“.</w:t>
      </w:r>
      <w:r w:rsidRPr="00F12C48">
        <w:rPr>
          <w:noProof/>
          <w:sz w:val="22"/>
          <w:vertAlign w:val="superscript"/>
        </w:rPr>
        <w:t xml:space="preserve"> </w:t>
      </w:r>
      <w:r w:rsidRPr="00F12C48">
        <w:rPr>
          <w:rStyle w:val="Odkaznapoznmkupodiarou"/>
          <w:noProof/>
        </w:rPr>
        <w:footnoteReference w:id="3"/>
      </w:r>
      <w:r w:rsidRPr="00F12C48">
        <w:rPr>
          <w:noProof/>
        </w:rPr>
        <w:t xml:space="preserve"> Vyzvali Komisiu, aby</w:t>
      </w:r>
      <w:r w:rsidR="00F12C48">
        <w:rPr>
          <w:noProof/>
        </w:rPr>
        <w:t xml:space="preserve"> v </w:t>
      </w:r>
      <w:r w:rsidRPr="00F12C48">
        <w:rPr>
          <w:noProof/>
        </w:rPr>
        <w:t>prvom polroku 2025 predložila konkrétne návrhy na zníženie vykazovacích požiadaviek aspoň</w:t>
      </w:r>
      <w:r w:rsidR="00F12C48">
        <w:rPr>
          <w:noProof/>
        </w:rPr>
        <w:t xml:space="preserve"> o </w:t>
      </w:r>
      <w:r w:rsidRPr="00F12C48">
        <w:rPr>
          <w:noProof/>
        </w:rPr>
        <w:t>25</w:t>
      </w:r>
      <w:r w:rsidR="00F12C48">
        <w:rPr>
          <w:noProof/>
        </w:rPr>
        <w:t> %.</w:t>
      </w:r>
    </w:p>
    <w:p w14:paraId="1CBEC8FF" w14:textId="0FF20CE3" w:rsidR="004875CD" w:rsidRPr="00F12C48" w:rsidRDefault="004875CD" w:rsidP="004875CD">
      <w:pPr>
        <w:tabs>
          <w:tab w:val="num" w:pos="709"/>
        </w:tabs>
        <w:rPr>
          <w:noProof/>
        </w:rPr>
      </w:pPr>
      <w:r w:rsidRPr="00F12C48">
        <w:rPr>
          <w:noProof/>
        </w:rPr>
        <w:t>Komisia vo svojom oznámení</w:t>
      </w:r>
      <w:r w:rsidR="00F12C48">
        <w:rPr>
          <w:noProof/>
        </w:rPr>
        <w:t xml:space="preserve"> o </w:t>
      </w:r>
      <w:r w:rsidRPr="00F12C48">
        <w:rPr>
          <w:noProof/>
        </w:rPr>
        <w:t>kompase konkurencieschopnosti pre EÚ potvrdila, že navrhne prvý „súhrnný balík predpisov</w:t>
      </w:r>
      <w:r w:rsidR="00F12C48">
        <w:rPr>
          <w:noProof/>
        </w:rPr>
        <w:t xml:space="preserve"> o </w:t>
      </w:r>
      <w:r w:rsidRPr="00F12C48">
        <w:rPr>
          <w:noProof/>
        </w:rPr>
        <w:t>zjednodušení“, ktorý by zahŕňal ďalekosiahle zjednodušenia</w:t>
      </w:r>
      <w:r w:rsidR="00F12C48">
        <w:rPr>
          <w:noProof/>
        </w:rPr>
        <w:t xml:space="preserve"> v </w:t>
      </w:r>
      <w:r w:rsidRPr="00F12C48">
        <w:rPr>
          <w:noProof/>
        </w:rPr>
        <w:t>oblasti vykazovania informácií</w:t>
      </w:r>
      <w:r w:rsidR="00F12C48">
        <w:rPr>
          <w:noProof/>
        </w:rPr>
        <w:t xml:space="preserve"> o </w:t>
      </w:r>
      <w:r w:rsidRPr="00F12C48">
        <w:rPr>
          <w:noProof/>
        </w:rPr>
        <w:t>udržateľnom financovaní, náležitej starostlivosti</w:t>
      </w:r>
      <w:r w:rsidR="00F12C48">
        <w:rPr>
          <w:noProof/>
        </w:rPr>
        <w:t xml:space="preserve"> v </w:t>
      </w:r>
      <w:r w:rsidRPr="00F12C48">
        <w:rPr>
          <w:noProof/>
        </w:rPr>
        <w:t>oblasti udržateľnosti</w:t>
      </w:r>
      <w:r w:rsidR="00F12C48">
        <w:rPr>
          <w:noProof/>
        </w:rPr>
        <w:t xml:space="preserve"> a </w:t>
      </w:r>
      <w:r w:rsidRPr="00F12C48">
        <w:rPr>
          <w:noProof/>
        </w:rPr>
        <w:t>taxonómie</w:t>
      </w:r>
      <w:r w:rsidRPr="00F12C48">
        <w:rPr>
          <w:rStyle w:val="Odkaznapoznmkupodiarou"/>
          <w:noProof/>
        </w:rPr>
        <w:footnoteReference w:id="4"/>
      </w:r>
      <w:r w:rsidRPr="00F12C48">
        <w:rPr>
          <w:noProof/>
        </w:rPr>
        <w:t>.</w:t>
      </w:r>
      <w:r w:rsidRPr="00F12C48">
        <w:rPr>
          <w:noProof/>
          <w:sz w:val="22"/>
          <w:vertAlign w:val="superscript"/>
        </w:rPr>
        <w:t xml:space="preserve"> </w:t>
      </w:r>
      <w:r w:rsidRPr="00F12C48">
        <w:rPr>
          <w:noProof/>
        </w:rPr>
        <w:t>Vo svojom oznámení</w:t>
      </w:r>
      <w:r w:rsidR="00F12C48">
        <w:rPr>
          <w:noProof/>
        </w:rPr>
        <w:t xml:space="preserve"> s </w:t>
      </w:r>
      <w:r w:rsidRPr="00F12C48">
        <w:rPr>
          <w:noProof/>
        </w:rPr>
        <w:t>názvom „Jednoduchšia</w:t>
      </w:r>
      <w:r w:rsidR="00F12C48">
        <w:rPr>
          <w:noProof/>
        </w:rPr>
        <w:t xml:space="preserve"> a </w:t>
      </w:r>
      <w:r w:rsidRPr="00F12C48">
        <w:rPr>
          <w:noProof/>
        </w:rPr>
        <w:t>rýchlejšia Európa: oznámenie</w:t>
      </w:r>
      <w:r w:rsidR="00F12C48">
        <w:rPr>
          <w:noProof/>
        </w:rPr>
        <w:t xml:space="preserve"> o </w:t>
      </w:r>
      <w:r w:rsidRPr="00F12C48">
        <w:rPr>
          <w:noProof/>
        </w:rPr>
        <w:t>vykonávaní</w:t>
      </w:r>
      <w:r w:rsidR="00F12C48">
        <w:rPr>
          <w:noProof/>
        </w:rPr>
        <w:t xml:space="preserve"> a </w:t>
      </w:r>
      <w:r w:rsidRPr="00F12C48">
        <w:rPr>
          <w:noProof/>
        </w:rPr>
        <w:t>zjednodušení“ Komisia stanovila program vykonávania</w:t>
      </w:r>
      <w:r w:rsidR="00F12C48">
        <w:rPr>
          <w:noProof/>
        </w:rPr>
        <w:t xml:space="preserve"> a </w:t>
      </w:r>
      <w:r w:rsidRPr="00F12C48">
        <w:rPr>
          <w:noProof/>
        </w:rPr>
        <w:t>zjednodušenia, ktorý prináša rýchle</w:t>
      </w:r>
      <w:r w:rsidR="00F12C48">
        <w:rPr>
          <w:noProof/>
        </w:rPr>
        <w:t xml:space="preserve"> a </w:t>
      </w:r>
      <w:r w:rsidRPr="00F12C48">
        <w:rPr>
          <w:noProof/>
        </w:rPr>
        <w:t>viditeľné zlepšenia pre ľudí</w:t>
      </w:r>
      <w:r w:rsidR="00F12C48">
        <w:rPr>
          <w:noProof/>
        </w:rPr>
        <w:t xml:space="preserve"> a </w:t>
      </w:r>
      <w:r w:rsidRPr="00F12C48">
        <w:rPr>
          <w:noProof/>
        </w:rPr>
        <w:t>podniky</w:t>
      </w:r>
      <w:r w:rsidR="00F12C48">
        <w:rPr>
          <w:noProof/>
        </w:rPr>
        <w:t xml:space="preserve"> v </w:t>
      </w:r>
      <w:r w:rsidRPr="00F12C48">
        <w:rPr>
          <w:noProof/>
        </w:rPr>
        <w:t>praxi, čo si vyžaduje viac než len postupný prístup</w:t>
      </w:r>
      <w:r w:rsidR="00F12C48">
        <w:rPr>
          <w:noProof/>
        </w:rPr>
        <w:t xml:space="preserve"> a </w:t>
      </w:r>
      <w:r w:rsidRPr="00F12C48">
        <w:rPr>
          <w:noProof/>
        </w:rPr>
        <w:t>zdôrazňuje potrebu odvážnych opatrení na zefektívnenie</w:t>
      </w:r>
      <w:r w:rsidR="00F12C48">
        <w:rPr>
          <w:noProof/>
        </w:rPr>
        <w:t xml:space="preserve"> a </w:t>
      </w:r>
      <w:r w:rsidRPr="00F12C48">
        <w:rPr>
          <w:noProof/>
        </w:rPr>
        <w:t>zjednodušenie pravidiel EÚ, ako aj vnútroštátnych</w:t>
      </w:r>
      <w:r w:rsidR="00F12C48">
        <w:rPr>
          <w:noProof/>
        </w:rPr>
        <w:t xml:space="preserve"> a </w:t>
      </w:r>
      <w:r w:rsidRPr="00F12C48">
        <w:rPr>
          <w:noProof/>
        </w:rPr>
        <w:t>regionálnych pravidiel</w:t>
      </w:r>
      <w:r w:rsidRPr="00F12C48">
        <w:rPr>
          <w:rStyle w:val="Odkaznapoznmkupodiarou"/>
          <w:noProof/>
        </w:rPr>
        <w:footnoteReference w:id="5"/>
      </w:r>
      <w:r w:rsidRPr="00F12C48">
        <w:rPr>
          <w:noProof/>
        </w:rPr>
        <w:t>.</w:t>
      </w:r>
    </w:p>
    <w:p w14:paraId="18AF4252" w14:textId="1BCC725C" w:rsidR="00F12C48" w:rsidRDefault="00A53DB0" w:rsidP="00A53DB0">
      <w:pPr>
        <w:pBdr>
          <w:top w:val="nil"/>
          <w:left w:val="nil"/>
          <w:bottom w:val="nil"/>
          <w:right w:val="nil"/>
          <w:between w:val="nil"/>
          <w:bar w:val="nil"/>
        </w:pBdr>
        <w:spacing w:before="0" w:after="240"/>
        <w:rPr>
          <w:rStyle w:val="eop"/>
          <w:noProof/>
          <w:shd w:val="clear" w:color="auto" w:fill="FFFFFF"/>
        </w:rPr>
      </w:pPr>
      <w:r w:rsidRPr="00F12C48">
        <w:rPr>
          <w:rStyle w:val="normaltextrun"/>
          <w:noProof/>
        </w:rPr>
        <w:t>Smernica CSRD nadobudla účinnosť 5</w:t>
      </w:r>
      <w:r w:rsidR="00F12C48">
        <w:rPr>
          <w:rStyle w:val="normaltextrun"/>
          <w:noProof/>
        </w:rPr>
        <w:t>. januára</w:t>
      </w:r>
      <w:r w:rsidRPr="00F12C48">
        <w:rPr>
          <w:rStyle w:val="normaltextrun"/>
          <w:noProof/>
        </w:rPr>
        <w:t xml:space="preserve"> 2023</w:t>
      </w:r>
      <w:r w:rsidRPr="00F12C48">
        <w:rPr>
          <w:rStyle w:val="Odkaznapoznmkupodiarou"/>
          <w:noProof/>
        </w:rPr>
        <w:footnoteReference w:id="6"/>
      </w:r>
      <w:r w:rsidRPr="00F12C48">
        <w:rPr>
          <w:noProof/>
        </w:rPr>
        <w:t>.</w:t>
      </w:r>
      <w:r w:rsidRPr="00F12C48">
        <w:rPr>
          <w:rStyle w:val="normaltextrun"/>
          <w:noProof/>
        </w:rPr>
        <w:t xml:space="preserve"> Posilnili</w:t>
      </w:r>
      <w:r w:rsidR="00F12C48">
        <w:rPr>
          <w:rStyle w:val="normaltextrun"/>
          <w:noProof/>
        </w:rPr>
        <w:t xml:space="preserve"> a </w:t>
      </w:r>
      <w:r w:rsidRPr="00F12C48">
        <w:rPr>
          <w:rStyle w:val="normaltextrun"/>
          <w:noProof/>
        </w:rPr>
        <w:t>zmodernizovali sa ňou požiadavky na vykazovanie informácií</w:t>
      </w:r>
      <w:r w:rsidR="00F12C48">
        <w:rPr>
          <w:rStyle w:val="normaltextrun"/>
          <w:noProof/>
        </w:rPr>
        <w:t xml:space="preserve"> o </w:t>
      </w:r>
      <w:r w:rsidRPr="00F12C48">
        <w:rPr>
          <w:rStyle w:val="normaltextrun"/>
          <w:noProof/>
        </w:rPr>
        <w:t>udržateľnosti podnikov prostredníctvom úprav smernice</w:t>
      </w:r>
      <w:r w:rsidR="00F12C48">
        <w:rPr>
          <w:rStyle w:val="normaltextrun"/>
          <w:noProof/>
        </w:rPr>
        <w:t xml:space="preserve"> o </w:t>
      </w:r>
      <w:r w:rsidRPr="00F12C48">
        <w:rPr>
          <w:rStyle w:val="normaltextrun"/>
          <w:noProof/>
        </w:rPr>
        <w:t>účtovníctve, smernice</w:t>
      </w:r>
      <w:r w:rsidR="00F12C48">
        <w:rPr>
          <w:rStyle w:val="normaltextrun"/>
          <w:noProof/>
        </w:rPr>
        <w:t xml:space="preserve"> o </w:t>
      </w:r>
      <w:r w:rsidRPr="00F12C48">
        <w:rPr>
          <w:rStyle w:val="normaltextrun"/>
          <w:noProof/>
        </w:rPr>
        <w:t>transparentnosti, smernice</w:t>
      </w:r>
      <w:r w:rsidR="00F12C48">
        <w:rPr>
          <w:rStyle w:val="normaltextrun"/>
          <w:noProof/>
        </w:rPr>
        <w:t xml:space="preserve"> o </w:t>
      </w:r>
      <w:r w:rsidRPr="00F12C48">
        <w:rPr>
          <w:rStyle w:val="normaltextrun"/>
          <w:noProof/>
        </w:rPr>
        <w:t>audite</w:t>
      </w:r>
      <w:r w:rsidR="00F12C48">
        <w:rPr>
          <w:rStyle w:val="normaltextrun"/>
          <w:noProof/>
        </w:rPr>
        <w:t xml:space="preserve"> a </w:t>
      </w:r>
      <w:r w:rsidRPr="00F12C48">
        <w:rPr>
          <w:rStyle w:val="normaltextrun"/>
          <w:noProof/>
        </w:rPr>
        <w:t>nariadenia</w:t>
      </w:r>
      <w:r w:rsidR="00F12C48">
        <w:rPr>
          <w:rStyle w:val="normaltextrun"/>
          <w:noProof/>
        </w:rPr>
        <w:t xml:space="preserve"> o </w:t>
      </w:r>
      <w:r w:rsidRPr="00F12C48">
        <w:rPr>
          <w:rStyle w:val="normaltextrun"/>
          <w:noProof/>
        </w:rPr>
        <w:t>audite</w:t>
      </w:r>
      <w:r w:rsidRPr="00F12C48">
        <w:rPr>
          <w:rStyle w:val="Odkaznapoznmkupodiarou"/>
          <w:noProof/>
        </w:rPr>
        <w:footnoteReference w:id="7"/>
      </w:r>
      <w:r w:rsidRPr="00F12C48">
        <w:rPr>
          <w:noProof/>
        </w:rPr>
        <w:t>.</w:t>
      </w:r>
      <w:r w:rsidRPr="00F12C48">
        <w:rPr>
          <w:rStyle w:val="normaltextrun"/>
          <w:noProof/>
        </w:rPr>
        <w:t xml:space="preserve"> </w:t>
      </w:r>
      <w:r w:rsidRPr="00F12C48">
        <w:rPr>
          <w:rStyle w:val="eop"/>
          <w:noProof/>
          <w:shd w:val="clear" w:color="auto" w:fill="FFFFFF"/>
        </w:rPr>
        <w:t>Smernica CSRD je dôležitým prvkom Európskej zelenej dohody</w:t>
      </w:r>
      <w:r w:rsidR="00F12C48">
        <w:rPr>
          <w:rStyle w:val="eop"/>
          <w:noProof/>
          <w:shd w:val="clear" w:color="auto" w:fill="FFFFFF"/>
        </w:rPr>
        <w:t xml:space="preserve"> a </w:t>
      </w:r>
      <w:r w:rsidRPr="00F12C48">
        <w:rPr>
          <w:rStyle w:val="eop"/>
          <w:noProof/>
          <w:shd w:val="clear" w:color="auto" w:fill="FFFFFF"/>
        </w:rPr>
        <w:t>akčného plánu</w:t>
      </w:r>
      <w:r w:rsidR="00F12C48">
        <w:rPr>
          <w:rStyle w:val="eop"/>
          <w:noProof/>
          <w:shd w:val="clear" w:color="auto" w:fill="FFFFFF"/>
        </w:rPr>
        <w:t xml:space="preserve"> o </w:t>
      </w:r>
      <w:r w:rsidRPr="00F12C48">
        <w:rPr>
          <w:rStyle w:val="eop"/>
          <w:noProof/>
          <w:shd w:val="clear" w:color="auto" w:fill="FFFFFF"/>
        </w:rPr>
        <w:t>udržateľnom financovaní</w:t>
      </w:r>
      <w:r w:rsidRPr="00F12C48">
        <w:rPr>
          <w:rStyle w:val="Odkaznapoznmkupodiarou"/>
          <w:noProof/>
        </w:rPr>
        <w:footnoteReference w:id="8"/>
      </w:r>
      <w:r w:rsidRPr="00F12C48">
        <w:rPr>
          <w:noProof/>
        </w:rPr>
        <w:t>.</w:t>
      </w:r>
      <w:r w:rsidRPr="00F12C48">
        <w:rPr>
          <w:rStyle w:val="eop"/>
          <w:noProof/>
          <w:shd w:val="clear" w:color="auto" w:fill="FFFFFF"/>
        </w:rPr>
        <w:t xml:space="preserve"> Jej cieľom je zabezpečiť, aby investori mali informácie, ktoré potrebujú na pochopenie</w:t>
      </w:r>
      <w:r w:rsidR="00F12C48">
        <w:rPr>
          <w:rStyle w:val="eop"/>
          <w:noProof/>
          <w:shd w:val="clear" w:color="auto" w:fill="FFFFFF"/>
        </w:rPr>
        <w:t xml:space="preserve"> a </w:t>
      </w:r>
      <w:r w:rsidRPr="00F12C48">
        <w:rPr>
          <w:rStyle w:val="eop"/>
          <w:noProof/>
          <w:shd w:val="clear" w:color="auto" w:fill="FFFFFF"/>
        </w:rPr>
        <w:t>riadenie rizík, ktorým sú vystavené spoločnosti, do ktorých sa investuje,</w:t>
      </w:r>
      <w:r w:rsidR="00F12C48">
        <w:rPr>
          <w:rStyle w:val="eop"/>
          <w:noProof/>
          <w:shd w:val="clear" w:color="auto" w:fill="FFFFFF"/>
        </w:rPr>
        <w:t xml:space="preserve"> v </w:t>
      </w:r>
      <w:r w:rsidRPr="00F12C48">
        <w:rPr>
          <w:rStyle w:val="eop"/>
          <w:noProof/>
          <w:shd w:val="clear" w:color="auto" w:fill="FFFFFF"/>
        </w:rPr>
        <w:t>dôsledku zmeny klímy</w:t>
      </w:r>
      <w:r w:rsidR="00F12C48">
        <w:rPr>
          <w:rStyle w:val="eop"/>
          <w:noProof/>
          <w:shd w:val="clear" w:color="auto" w:fill="FFFFFF"/>
        </w:rPr>
        <w:t xml:space="preserve"> a </w:t>
      </w:r>
      <w:r w:rsidRPr="00F12C48">
        <w:rPr>
          <w:rStyle w:val="eop"/>
          <w:noProof/>
          <w:shd w:val="clear" w:color="auto" w:fill="FFFFFF"/>
        </w:rPr>
        <w:t>iných aspektov udržateľnosti. Jej ďalším cieľom je zabezpečiť, aby investori</w:t>
      </w:r>
      <w:r w:rsidR="00F12C48">
        <w:rPr>
          <w:rStyle w:val="eop"/>
          <w:noProof/>
          <w:shd w:val="clear" w:color="auto" w:fill="FFFFFF"/>
        </w:rPr>
        <w:t xml:space="preserve"> a </w:t>
      </w:r>
      <w:r w:rsidRPr="00F12C48">
        <w:rPr>
          <w:rStyle w:val="eop"/>
          <w:noProof/>
          <w:shd w:val="clear" w:color="auto" w:fill="FFFFFF"/>
        </w:rPr>
        <w:t>iné zainteresované strany mali potrebné informácie</w:t>
      </w:r>
      <w:r w:rsidR="00F12C48">
        <w:rPr>
          <w:rStyle w:val="eop"/>
          <w:noProof/>
          <w:shd w:val="clear" w:color="auto" w:fill="FFFFFF"/>
        </w:rPr>
        <w:t xml:space="preserve"> o </w:t>
      </w:r>
      <w:r w:rsidRPr="00F12C48">
        <w:rPr>
          <w:rStyle w:val="eop"/>
          <w:noProof/>
          <w:shd w:val="clear" w:color="auto" w:fill="FFFFFF"/>
        </w:rPr>
        <w:t xml:space="preserve">vplyve </w:t>
      </w:r>
      <w:r w:rsidRPr="00F12C48">
        <w:rPr>
          <w:rStyle w:val="eop"/>
          <w:noProof/>
          <w:shd w:val="clear" w:color="auto" w:fill="FFFFFF"/>
        </w:rPr>
        <w:lastRenderedPageBreak/>
        <w:t>spoločností na ľudí</w:t>
      </w:r>
      <w:r w:rsidR="00F12C48">
        <w:rPr>
          <w:rStyle w:val="eop"/>
          <w:noProof/>
          <w:shd w:val="clear" w:color="auto" w:fill="FFFFFF"/>
        </w:rPr>
        <w:t xml:space="preserve"> a </w:t>
      </w:r>
      <w:r w:rsidRPr="00F12C48">
        <w:rPr>
          <w:rStyle w:val="eop"/>
          <w:noProof/>
          <w:shd w:val="clear" w:color="auto" w:fill="FFFFFF"/>
        </w:rPr>
        <w:t>životné prostredie. Prispieva tak</w:t>
      </w:r>
      <w:r w:rsidR="00F12C48">
        <w:rPr>
          <w:rStyle w:val="eop"/>
          <w:noProof/>
          <w:shd w:val="clear" w:color="auto" w:fill="FFFFFF"/>
        </w:rPr>
        <w:t xml:space="preserve"> k </w:t>
      </w:r>
      <w:r w:rsidRPr="00F12C48">
        <w:rPr>
          <w:rStyle w:val="eop"/>
          <w:noProof/>
          <w:shd w:val="clear" w:color="auto" w:fill="FFFFFF"/>
        </w:rPr>
        <w:t>finančnej stabilite</w:t>
      </w:r>
      <w:r w:rsidR="00F12C48">
        <w:rPr>
          <w:rStyle w:val="eop"/>
          <w:noProof/>
          <w:shd w:val="clear" w:color="auto" w:fill="FFFFFF"/>
        </w:rPr>
        <w:t xml:space="preserve"> a </w:t>
      </w:r>
      <w:r w:rsidRPr="00F12C48">
        <w:rPr>
          <w:rStyle w:val="eop"/>
          <w:noProof/>
          <w:shd w:val="clear" w:color="auto" w:fill="FFFFFF"/>
        </w:rPr>
        <w:t>environmentálnej integrite. Ide</w:t>
      </w:r>
      <w:r w:rsidR="00F12C48">
        <w:rPr>
          <w:rStyle w:val="eop"/>
          <w:noProof/>
          <w:shd w:val="clear" w:color="auto" w:fill="FFFFFF"/>
        </w:rPr>
        <w:t xml:space="preserve"> o </w:t>
      </w:r>
      <w:r w:rsidRPr="00F12C48">
        <w:rPr>
          <w:rStyle w:val="eop"/>
          <w:noProof/>
          <w:shd w:val="clear" w:color="auto" w:fill="FFFFFF"/>
        </w:rPr>
        <w:t>nevyhnutnú podmienku na to, aby finančné zdroje smerovali do spoločností, ktoré sledujú ciele udržateľnosti, prispieva</w:t>
      </w:r>
      <w:r w:rsidR="00F12C48">
        <w:rPr>
          <w:rStyle w:val="eop"/>
          <w:noProof/>
          <w:shd w:val="clear" w:color="auto" w:fill="FFFFFF"/>
        </w:rPr>
        <w:t xml:space="preserve"> k </w:t>
      </w:r>
      <w:r w:rsidRPr="00F12C48">
        <w:rPr>
          <w:rStyle w:val="eop"/>
          <w:noProof/>
          <w:shd w:val="clear" w:color="auto" w:fill="FFFFFF"/>
        </w:rPr>
        <w:t>väčšej zodpovednosti</w:t>
      </w:r>
      <w:r w:rsidR="00F12C48">
        <w:rPr>
          <w:rStyle w:val="eop"/>
          <w:noProof/>
          <w:shd w:val="clear" w:color="auto" w:fill="FFFFFF"/>
        </w:rPr>
        <w:t xml:space="preserve"> a </w:t>
      </w:r>
      <w:r w:rsidRPr="00F12C48">
        <w:rPr>
          <w:rStyle w:val="eop"/>
          <w:noProof/>
          <w:shd w:val="clear" w:color="auto" w:fill="FFFFFF"/>
        </w:rPr>
        <w:t>transparentnosti voči všetkým zainteresovaným stranám, pokiaľ ide</w:t>
      </w:r>
      <w:r w:rsidR="00F12C48">
        <w:rPr>
          <w:rStyle w:val="eop"/>
          <w:noProof/>
          <w:shd w:val="clear" w:color="auto" w:fill="FFFFFF"/>
        </w:rPr>
        <w:t xml:space="preserve"> o </w:t>
      </w:r>
      <w:r w:rsidRPr="00F12C48">
        <w:rPr>
          <w:rStyle w:val="eop"/>
          <w:noProof/>
          <w:shd w:val="clear" w:color="auto" w:fill="FFFFFF"/>
        </w:rPr>
        <w:t>výkonnosť spoločností</w:t>
      </w:r>
      <w:r w:rsidR="00F12C48">
        <w:rPr>
          <w:rStyle w:val="eop"/>
          <w:noProof/>
          <w:shd w:val="clear" w:color="auto" w:fill="FFFFFF"/>
        </w:rPr>
        <w:t xml:space="preserve"> v </w:t>
      </w:r>
      <w:r w:rsidRPr="00F12C48">
        <w:rPr>
          <w:rStyle w:val="eop"/>
          <w:noProof/>
          <w:shd w:val="clear" w:color="auto" w:fill="FFFFFF"/>
        </w:rPr>
        <w:t>oblasti udržateľnosti</w:t>
      </w:r>
      <w:r w:rsidR="00F12C48">
        <w:rPr>
          <w:rStyle w:val="eop"/>
          <w:noProof/>
          <w:shd w:val="clear" w:color="auto" w:fill="FFFFFF"/>
        </w:rPr>
        <w:t>.</w:t>
      </w:r>
    </w:p>
    <w:p w14:paraId="2D3B8FCC" w14:textId="037A44AB" w:rsidR="00F12C48" w:rsidRDefault="00A53DB0" w:rsidP="00A53DB0">
      <w:pPr>
        <w:pBdr>
          <w:top w:val="nil"/>
          <w:left w:val="nil"/>
          <w:bottom w:val="nil"/>
          <w:right w:val="nil"/>
          <w:between w:val="nil"/>
          <w:bar w:val="nil"/>
        </w:pBdr>
        <w:spacing w:before="0" w:after="240"/>
        <w:rPr>
          <w:noProof/>
        </w:rPr>
      </w:pPr>
      <w:r w:rsidRPr="00F12C48">
        <w:rPr>
          <w:noProof/>
        </w:rPr>
        <w:t>Smernica CSDDD bola prijatá 13</w:t>
      </w:r>
      <w:r w:rsidR="00F12C48">
        <w:rPr>
          <w:noProof/>
        </w:rPr>
        <w:t>. júna</w:t>
      </w:r>
      <w:r w:rsidRPr="00F12C48">
        <w:rPr>
          <w:noProof/>
        </w:rPr>
        <w:t xml:space="preserve"> 2024. Jej cieľom je prispieť</w:t>
      </w:r>
      <w:r w:rsidR="00F12C48">
        <w:rPr>
          <w:noProof/>
        </w:rPr>
        <w:t xml:space="preserve"> k </w:t>
      </w:r>
      <w:r w:rsidRPr="00F12C48">
        <w:rPr>
          <w:noProof/>
        </w:rPr>
        <w:t>širšej ambícii Európskej únie, pokiaľ ide</w:t>
      </w:r>
      <w:r w:rsidR="00F12C48">
        <w:rPr>
          <w:noProof/>
        </w:rPr>
        <w:t xml:space="preserve"> o </w:t>
      </w:r>
      <w:r w:rsidRPr="00F12C48">
        <w:rPr>
          <w:noProof/>
        </w:rPr>
        <w:t>prechod na udržateľné</w:t>
      </w:r>
      <w:r w:rsidR="00F12C48">
        <w:rPr>
          <w:noProof/>
        </w:rPr>
        <w:t xml:space="preserve"> a </w:t>
      </w:r>
      <w:r w:rsidRPr="00F12C48">
        <w:rPr>
          <w:noProof/>
        </w:rPr>
        <w:t>klimaticky neutrálne hospodárstvo, ako sa uvádza</w:t>
      </w:r>
      <w:r w:rsidR="00F12C48">
        <w:rPr>
          <w:noProof/>
        </w:rPr>
        <w:t xml:space="preserve"> v </w:t>
      </w:r>
      <w:r w:rsidRPr="00F12C48">
        <w:rPr>
          <w:noProof/>
        </w:rPr>
        <w:t>Európskej zelenej dohode. Vyžaduje sa</w:t>
      </w:r>
      <w:r w:rsidR="00F12C48">
        <w:rPr>
          <w:noProof/>
        </w:rPr>
        <w:t xml:space="preserve"> v </w:t>
      </w:r>
      <w:r w:rsidRPr="00F12C48">
        <w:rPr>
          <w:noProof/>
        </w:rPr>
        <w:t>nej, aby spoločnosti identifikovali</w:t>
      </w:r>
      <w:r w:rsidR="00F12C48">
        <w:rPr>
          <w:noProof/>
        </w:rPr>
        <w:t xml:space="preserve"> a </w:t>
      </w:r>
      <w:r w:rsidRPr="00F12C48">
        <w:rPr>
          <w:noProof/>
        </w:rPr>
        <w:t>riešili nepriaznivé vplyvy na ľudské práva</w:t>
      </w:r>
      <w:r w:rsidR="00F12C48">
        <w:rPr>
          <w:noProof/>
        </w:rPr>
        <w:t xml:space="preserve"> a </w:t>
      </w:r>
      <w:r w:rsidRPr="00F12C48">
        <w:rPr>
          <w:noProof/>
        </w:rPr>
        <w:t>životné prostredie</w:t>
      </w:r>
      <w:r w:rsidR="00F12C48">
        <w:rPr>
          <w:noProof/>
        </w:rPr>
        <w:t xml:space="preserve"> v </w:t>
      </w:r>
      <w:r w:rsidRPr="00F12C48">
        <w:rPr>
          <w:noProof/>
        </w:rPr>
        <w:t>rámci svojich činností, ako aj</w:t>
      </w:r>
      <w:r w:rsidR="00F12C48">
        <w:rPr>
          <w:noProof/>
        </w:rPr>
        <w:t xml:space="preserve"> v </w:t>
      </w:r>
      <w:r w:rsidRPr="00F12C48">
        <w:rPr>
          <w:noProof/>
        </w:rPr>
        <w:t>rámci činností svojich dcérskych spoločností</w:t>
      </w:r>
      <w:r w:rsidR="00F12C48">
        <w:rPr>
          <w:noProof/>
        </w:rPr>
        <w:t xml:space="preserve"> a v </w:t>
      </w:r>
      <w:r w:rsidRPr="00F12C48">
        <w:rPr>
          <w:noProof/>
        </w:rPr>
        <w:t>ich reťazcoch činností</w:t>
      </w:r>
      <w:r w:rsidR="00F12C48">
        <w:rPr>
          <w:noProof/>
        </w:rPr>
        <w:t>.</w:t>
      </w:r>
    </w:p>
    <w:p w14:paraId="03EA413F" w14:textId="560FB5A2" w:rsidR="00A53DB0" w:rsidRPr="00F12C48" w:rsidRDefault="00A53DB0" w:rsidP="00A53DB0">
      <w:pPr>
        <w:pBdr>
          <w:top w:val="nil"/>
          <w:left w:val="nil"/>
          <w:bottom w:val="nil"/>
          <w:right w:val="nil"/>
          <w:between w:val="nil"/>
          <w:bar w:val="nil"/>
        </w:pBdr>
        <w:spacing w:before="0" w:after="240"/>
        <w:rPr>
          <w:noProof/>
        </w:rPr>
      </w:pPr>
      <w:r w:rsidRPr="00F12C48">
        <w:rPr>
          <w:noProof/>
        </w:rPr>
        <w:t>Smernice CSRD</w:t>
      </w:r>
      <w:r w:rsidR="00F12C48">
        <w:rPr>
          <w:noProof/>
        </w:rPr>
        <w:t xml:space="preserve"> a </w:t>
      </w:r>
      <w:r w:rsidRPr="00F12C48">
        <w:rPr>
          <w:noProof/>
        </w:rPr>
        <w:t>CSDDD sa</w:t>
      </w:r>
      <w:r w:rsidR="00F12C48">
        <w:rPr>
          <w:noProof/>
        </w:rPr>
        <w:t xml:space="preserve"> v </w:t>
      </w:r>
      <w:r w:rsidRPr="00F12C48">
        <w:rPr>
          <w:noProof/>
        </w:rPr>
        <w:t>súčasnosti vykonávajú</w:t>
      </w:r>
      <w:r w:rsidR="00F12C48">
        <w:rPr>
          <w:noProof/>
        </w:rPr>
        <w:t xml:space="preserve"> v </w:t>
      </w:r>
      <w:r w:rsidRPr="00F12C48">
        <w:rPr>
          <w:noProof/>
        </w:rPr>
        <w:t>novom</w:t>
      </w:r>
      <w:r w:rsidR="00F12C48">
        <w:rPr>
          <w:noProof/>
        </w:rPr>
        <w:t xml:space="preserve"> a </w:t>
      </w:r>
      <w:r w:rsidRPr="00F12C48">
        <w:rPr>
          <w:noProof/>
        </w:rPr>
        <w:t>zložitom kontexte.</w:t>
      </w:r>
      <w:r w:rsidR="00F12C48">
        <w:rPr>
          <w:noProof/>
        </w:rPr>
        <w:t xml:space="preserve"> V </w:t>
      </w:r>
      <w:r w:rsidRPr="00F12C48">
        <w:rPr>
          <w:noProof/>
        </w:rPr>
        <w:t>dôsledku útočnej vojny Ruska proti Ukrajine došlo</w:t>
      </w:r>
      <w:r w:rsidR="00F12C48">
        <w:rPr>
          <w:noProof/>
        </w:rPr>
        <w:t xml:space="preserve"> k </w:t>
      </w:r>
      <w:r w:rsidRPr="00F12C48">
        <w:rPr>
          <w:noProof/>
        </w:rPr>
        <w:t>nárastu cien energie pre podniky EÚ. Obchodné napätie stúpa, keďže geopolitické prostredie sa naďalej mení. Určité iné významné jurisdikcie zaujali</w:t>
      </w:r>
      <w:r w:rsidR="00F12C48">
        <w:rPr>
          <w:noProof/>
        </w:rPr>
        <w:t xml:space="preserve"> k </w:t>
      </w:r>
      <w:r w:rsidRPr="00F12C48">
        <w:rPr>
          <w:noProof/>
        </w:rPr>
        <w:t>regulácii vykazovania informácií</w:t>
      </w:r>
      <w:r w:rsidR="00F12C48">
        <w:rPr>
          <w:noProof/>
        </w:rPr>
        <w:t xml:space="preserve"> o </w:t>
      </w:r>
      <w:r w:rsidRPr="00F12C48">
        <w:rPr>
          <w:noProof/>
        </w:rPr>
        <w:t>udržateľnosti podnikov</w:t>
      </w:r>
      <w:r w:rsidR="00F12C48">
        <w:rPr>
          <w:noProof/>
        </w:rPr>
        <w:t xml:space="preserve"> a </w:t>
      </w:r>
      <w:r w:rsidRPr="00F12C48">
        <w:rPr>
          <w:noProof/>
        </w:rPr>
        <w:t>náležitej starostlivosti odlišný postoj, čo vyvoláva otázky</w:t>
      </w:r>
      <w:r w:rsidR="00F12C48">
        <w:rPr>
          <w:noProof/>
        </w:rPr>
        <w:t xml:space="preserve"> o </w:t>
      </w:r>
      <w:r w:rsidRPr="00F12C48">
        <w:rPr>
          <w:noProof/>
        </w:rPr>
        <w:t>vplyve týchto právnych predpisov na konkurenčné postavenie spoločností</w:t>
      </w:r>
      <w:r w:rsidR="00F12C48">
        <w:rPr>
          <w:noProof/>
        </w:rPr>
        <w:t xml:space="preserve"> z </w:t>
      </w:r>
      <w:r w:rsidRPr="00F12C48">
        <w:rPr>
          <w:noProof/>
        </w:rPr>
        <w:t>EÚ. Schopnosť Únie zachovať</w:t>
      </w:r>
      <w:r w:rsidR="00F12C48">
        <w:rPr>
          <w:noProof/>
        </w:rPr>
        <w:t xml:space="preserve"> a </w:t>
      </w:r>
      <w:r w:rsidRPr="00F12C48">
        <w:rPr>
          <w:noProof/>
        </w:rPr>
        <w:t>chrániť svoje hodnoty závisí, okrem iného, od schopnosti jej hospodárstva prispôsobiť sa</w:t>
      </w:r>
      <w:r w:rsidR="00F12C48">
        <w:rPr>
          <w:noProof/>
        </w:rPr>
        <w:t xml:space="preserve"> a </w:t>
      </w:r>
      <w:r w:rsidRPr="00F12C48">
        <w:rPr>
          <w:noProof/>
        </w:rPr>
        <w:t>konkurovať</w:t>
      </w:r>
      <w:r w:rsidR="00F12C48">
        <w:rPr>
          <w:noProof/>
        </w:rPr>
        <w:t xml:space="preserve"> v </w:t>
      </w:r>
      <w:r w:rsidRPr="00F12C48">
        <w:rPr>
          <w:noProof/>
        </w:rPr>
        <w:t>nestabilnom</w:t>
      </w:r>
      <w:r w:rsidR="00F12C48">
        <w:rPr>
          <w:noProof/>
        </w:rPr>
        <w:t xml:space="preserve"> a </w:t>
      </w:r>
      <w:r w:rsidRPr="00F12C48">
        <w:rPr>
          <w:noProof/>
        </w:rPr>
        <w:t>miestami nepriateľskom geopolitickom kontexte.</w:t>
      </w:r>
    </w:p>
    <w:p w14:paraId="31747B7F" w14:textId="30CD0FCD" w:rsidR="00F12C48" w:rsidRDefault="00A53DB0" w:rsidP="00A53DB0">
      <w:pPr>
        <w:pBdr>
          <w:top w:val="nil"/>
          <w:left w:val="nil"/>
          <w:bottom w:val="nil"/>
          <w:right w:val="nil"/>
          <w:between w:val="nil"/>
          <w:bar w:val="nil"/>
        </w:pBdr>
        <w:spacing w:before="0" w:after="240"/>
        <w:rPr>
          <w:noProof/>
        </w:rPr>
      </w:pPr>
      <w:r w:rsidRPr="00F12C48">
        <w:rPr>
          <w:noProof/>
        </w:rPr>
        <w:t>Týmto návrhom sa preto odkladá začatie uplatňovania smernice CSDDD</w:t>
      </w:r>
      <w:r w:rsidR="00F12C48">
        <w:rPr>
          <w:noProof/>
        </w:rPr>
        <w:t xml:space="preserve"> a </w:t>
      </w:r>
      <w:r w:rsidRPr="00F12C48">
        <w:rPr>
          <w:noProof/>
        </w:rPr>
        <w:t>určitých ustanovení smernice CSRD</w:t>
      </w:r>
      <w:r w:rsidR="00F12C48">
        <w:rPr>
          <w:noProof/>
        </w:rPr>
        <w:t>.</w:t>
      </w:r>
    </w:p>
    <w:p w14:paraId="3CBE9D1C" w14:textId="55E6742B" w:rsidR="00A53DB0" w:rsidRPr="00F12C48" w:rsidRDefault="00A53DB0" w:rsidP="00A53DB0">
      <w:pPr>
        <w:pBdr>
          <w:top w:val="nil"/>
          <w:left w:val="nil"/>
          <w:bottom w:val="nil"/>
          <w:right w:val="nil"/>
          <w:between w:val="nil"/>
          <w:bar w:val="nil"/>
        </w:pBdr>
        <w:spacing w:before="0" w:after="240"/>
        <w:rPr>
          <w:noProof/>
          <w:u w:val="single"/>
        </w:rPr>
      </w:pPr>
      <w:r w:rsidRPr="00F12C48">
        <w:rPr>
          <w:noProof/>
          <w:u w:val="single"/>
        </w:rPr>
        <w:t>Osobitný kontext</w:t>
      </w:r>
      <w:r w:rsidR="00F12C48">
        <w:rPr>
          <w:noProof/>
          <w:u w:val="single"/>
        </w:rPr>
        <w:t xml:space="preserve"> a </w:t>
      </w:r>
      <w:r w:rsidRPr="00F12C48">
        <w:rPr>
          <w:noProof/>
          <w:u w:val="single"/>
        </w:rPr>
        <w:t>ciele tohto návrhu týkajúce sa smernice CSRD</w:t>
      </w:r>
    </w:p>
    <w:p w14:paraId="17831539" w14:textId="05E1FD03" w:rsidR="00F12C48" w:rsidRDefault="006D059E" w:rsidP="00A53DB0">
      <w:pPr>
        <w:pBdr>
          <w:top w:val="nil"/>
          <w:left w:val="nil"/>
          <w:bottom w:val="nil"/>
          <w:right w:val="nil"/>
          <w:between w:val="nil"/>
          <w:bar w:val="nil"/>
        </w:pBdr>
        <w:spacing w:before="0" w:after="240"/>
        <w:rPr>
          <w:noProof/>
        </w:rPr>
      </w:pPr>
      <w:r w:rsidRPr="00F12C48">
        <w:rPr>
          <w:noProof/>
        </w:rPr>
        <w:t>Smernica CSRD sa</w:t>
      </w:r>
      <w:r w:rsidR="00F12C48">
        <w:rPr>
          <w:noProof/>
        </w:rPr>
        <w:t xml:space="preserve"> v </w:t>
      </w:r>
      <w:r w:rsidRPr="00F12C48">
        <w:rPr>
          <w:noProof/>
        </w:rPr>
        <w:t>súčasnosti uplatňuje na veľké podniky, MSP</w:t>
      </w:r>
      <w:r w:rsidR="00F12C48">
        <w:rPr>
          <w:noProof/>
        </w:rPr>
        <w:t xml:space="preserve"> s </w:t>
      </w:r>
      <w:r w:rsidRPr="00F12C48">
        <w:rPr>
          <w:noProof/>
        </w:rPr>
        <w:t>cennými papiermi kótovanými na regulovaných trhoch EÚ, materské podniky veľkých skupín, ako aj na emitentov, ktorí patria do týchto kategórií podnikov. Začiatok uplatňovania požiadaviek na vykazovanie zavedených smernicou CSRD sa zavádza postupne podľa rôznych kategórií podnikov.</w:t>
      </w:r>
      <w:r w:rsidR="00F12C48">
        <w:rPr>
          <w:noProof/>
        </w:rPr>
        <w:t xml:space="preserve"> V </w:t>
      </w:r>
      <w:r w:rsidRPr="00F12C48">
        <w:rPr>
          <w:noProof/>
        </w:rPr>
        <w:t>prvej vlne sú veľké subjekty verejného záujmu</w:t>
      </w:r>
      <w:r w:rsidR="00F12C48">
        <w:rPr>
          <w:noProof/>
        </w:rPr>
        <w:t xml:space="preserve"> s </w:t>
      </w:r>
      <w:r w:rsidRPr="00F12C48">
        <w:rPr>
          <w:noProof/>
        </w:rPr>
        <w:t>viac než 500 zamestnancami, ktoré musia po prvýkrát vykázať informácie</w:t>
      </w:r>
      <w:r w:rsidR="00F12C48">
        <w:rPr>
          <w:noProof/>
        </w:rPr>
        <w:t xml:space="preserve"> v </w:t>
      </w:r>
      <w:r w:rsidRPr="00F12C48">
        <w:rPr>
          <w:noProof/>
        </w:rPr>
        <w:t>roku 2025 za účtovný rok 2024</w:t>
      </w:r>
      <w:r w:rsidRPr="00F12C48">
        <w:rPr>
          <w:rStyle w:val="Odkaznapoznmkupodiarou"/>
          <w:rFonts w:eastAsia="Arial Unicode MS"/>
          <w:noProof/>
          <w:lang w:eastAsia="en-GB"/>
        </w:rPr>
        <w:footnoteReference w:id="9"/>
      </w:r>
      <w:r w:rsidRPr="00F12C48">
        <w:rPr>
          <w:noProof/>
        </w:rPr>
        <w:t>.</w:t>
      </w:r>
      <w:r w:rsidR="00F12C48">
        <w:rPr>
          <w:noProof/>
        </w:rPr>
        <w:t xml:space="preserve"> V </w:t>
      </w:r>
      <w:r w:rsidRPr="00F12C48">
        <w:rPr>
          <w:noProof/>
        </w:rPr>
        <w:t>druhej vlne sú ostatné veľké podniky, ktoré musia vykázať informácie</w:t>
      </w:r>
      <w:r w:rsidR="00F12C48">
        <w:rPr>
          <w:noProof/>
        </w:rPr>
        <w:t xml:space="preserve"> v </w:t>
      </w:r>
      <w:r w:rsidRPr="00F12C48">
        <w:rPr>
          <w:noProof/>
        </w:rPr>
        <w:t>roku 2026 za účtovný rok 2025</w:t>
      </w:r>
      <w:r w:rsidRPr="00F12C48">
        <w:rPr>
          <w:rStyle w:val="Odkaznapoznmkupodiarou"/>
          <w:rFonts w:eastAsia="Arial Unicode MS"/>
          <w:noProof/>
          <w:lang w:eastAsia="en-GB"/>
        </w:rPr>
        <w:footnoteReference w:id="10"/>
      </w:r>
      <w:r w:rsidRPr="00F12C48">
        <w:rPr>
          <w:noProof/>
        </w:rPr>
        <w:t>.</w:t>
      </w:r>
      <w:r w:rsidR="00F12C48">
        <w:rPr>
          <w:noProof/>
        </w:rPr>
        <w:t xml:space="preserve"> V </w:t>
      </w:r>
      <w:r w:rsidRPr="00F12C48">
        <w:rPr>
          <w:noProof/>
        </w:rPr>
        <w:t>tretej vlne sa nachádzajú malé</w:t>
      </w:r>
      <w:r w:rsidR="00F12C48">
        <w:rPr>
          <w:noProof/>
        </w:rPr>
        <w:t xml:space="preserve"> a </w:t>
      </w:r>
      <w:r w:rsidRPr="00F12C48">
        <w:rPr>
          <w:noProof/>
        </w:rPr>
        <w:t>stredné podniky (MSP), ktorých cenné papiere sú kótované na regulovaných trhoch EÚ – tie musia vykázať informácie</w:t>
      </w:r>
      <w:r w:rsidR="00F12C48">
        <w:rPr>
          <w:noProof/>
        </w:rPr>
        <w:t xml:space="preserve"> v </w:t>
      </w:r>
      <w:r w:rsidRPr="00F12C48">
        <w:rPr>
          <w:noProof/>
        </w:rPr>
        <w:t>roku 2027 za účtovný rok 2026, hoci majú možnosť rozhodnúť sa, že za účtovné roky 2026</w:t>
      </w:r>
      <w:r w:rsidR="00F12C48">
        <w:rPr>
          <w:noProof/>
        </w:rPr>
        <w:t xml:space="preserve"> a </w:t>
      </w:r>
      <w:r w:rsidRPr="00F12C48">
        <w:rPr>
          <w:noProof/>
        </w:rPr>
        <w:t>2027 si uplatnia výnimku dané informácie nevykázať</w:t>
      </w:r>
      <w:r w:rsidRPr="00F12C48">
        <w:rPr>
          <w:rStyle w:val="Odkaznapoznmkupodiarou"/>
          <w:rFonts w:eastAsia="Arial Unicode MS"/>
          <w:noProof/>
          <w:lang w:eastAsia="en-GB"/>
        </w:rPr>
        <w:footnoteReference w:id="11"/>
      </w:r>
      <w:r w:rsidRPr="00F12C48">
        <w:rPr>
          <w:noProof/>
        </w:rPr>
        <w:t>. Vo štvrtej vlne sú určité podniky</w:t>
      </w:r>
      <w:r w:rsidR="00F12C48">
        <w:rPr>
          <w:noProof/>
        </w:rPr>
        <w:t xml:space="preserve"> z </w:t>
      </w:r>
      <w:r w:rsidRPr="00F12C48">
        <w:rPr>
          <w:noProof/>
        </w:rPr>
        <w:t xml:space="preserve">krajín mimo EÚ, ktoré podnikajú </w:t>
      </w:r>
      <w:r w:rsidRPr="00F12C48">
        <w:rPr>
          <w:noProof/>
        </w:rPr>
        <w:lastRenderedPageBreak/>
        <w:t>na území Únie</w:t>
      </w:r>
      <w:r w:rsidR="00F12C48">
        <w:rPr>
          <w:noProof/>
        </w:rPr>
        <w:t xml:space="preserve"> a </w:t>
      </w:r>
      <w:r w:rsidRPr="00F12C48">
        <w:rPr>
          <w:noProof/>
        </w:rPr>
        <w:t>presahujú určité prahové hodnoty – tieto musia vykázať informácie</w:t>
      </w:r>
      <w:r w:rsidR="00F12C48">
        <w:rPr>
          <w:noProof/>
        </w:rPr>
        <w:t xml:space="preserve"> v </w:t>
      </w:r>
      <w:r w:rsidRPr="00F12C48">
        <w:rPr>
          <w:noProof/>
        </w:rPr>
        <w:t>roku 2029 za účtovný rok 2028</w:t>
      </w:r>
      <w:r w:rsidRPr="00F12C48">
        <w:rPr>
          <w:rStyle w:val="Odkaznapoznmkupodiarou"/>
          <w:rFonts w:eastAsia="Arial Unicode MS"/>
          <w:noProof/>
          <w:lang w:eastAsia="en-GB"/>
        </w:rPr>
        <w:footnoteReference w:id="12"/>
      </w:r>
      <w:r w:rsidR="00F12C48">
        <w:rPr>
          <w:noProof/>
        </w:rPr>
        <w:t>.</w:t>
      </w:r>
    </w:p>
    <w:p w14:paraId="00634023" w14:textId="1D0510FF" w:rsidR="00F12C48" w:rsidRDefault="00A53DB0" w:rsidP="00A53DB0">
      <w:pPr>
        <w:pBdr>
          <w:top w:val="nil"/>
          <w:left w:val="nil"/>
          <w:bottom w:val="nil"/>
          <w:right w:val="nil"/>
          <w:between w:val="nil"/>
          <w:bar w:val="nil"/>
        </w:pBdr>
        <w:spacing w:before="0" w:after="240"/>
        <w:rPr>
          <w:rStyle w:val="normaltextrun"/>
          <w:noProof/>
          <w:color w:val="000000"/>
          <w:shd w:val="clear" w:color="auto" w:fill="FFFFFF"/>
        </w:rPr>
      </w:pPr>
      <w:r w:rsidRPr="00F12C48">
        <w:rPr>
          <w:rStyle w:val="normaltextrun"/>
          <w:noProof/>
        </w:rPr>
        <w:t>V smernici CSRD sa vyžaduje, aby podniky patriace do rozsahu pôsobnosti vykazovali informácie</w:t>
      </w:r>
      <w:r w:rsidR="00F12C48">
        <w:rPr>
          <w:rStyle w:val="normaltextrun"/>
          <w:noProof/>
        </w:rPr>
        <w:t xml:space="preserve"> o </w:t>
      </w:r>
      <w:r w:rsidRPr="00F12C48">
        <w:rPr>
          <w:rStyle w:val="normaltextrun"/>
          <w:noProof/>
        </w:rPr>
        <w:t>udržateľnosti podľa povinných európskych štandardov vykazovania informácií</w:t>
      </w:r>
      <w:r w:rsidR="00F12C48">
        <w:rPr>
          <w:rStyle w:val="normaltextrun"/>
          <w:noProof/>
        </w:rPr>
        <w:t xml:space="preserve"> o </w:t>
      </w:r>
      <w:r w:rsidRPr="00F12C48">
        <w:rPr>
          <w:rStyle w:val="normaltextrun"/>
          <w:noProof/>
        </w:rPr>
        <w:t>udržateľnosti (ESRS),</w:t>
      </w:r>
      <w:r w:rsidR="00F12C48">
        <w:rPr>
          <w:rStyle w:val="normaltextrun"/>
          <w:noProof/>
        </w:rPr>
        <w:t xml:space="preserve"> a </w:t>
      </w:r>
      <w:r w:rsidRPr="00F12C48">
        <w:rPr>
          <w:rStyle w:val="normaltextrun"/>
          <w:noProof/>
        </w:rPr>
        <w:t>od Komisie sa vyžaduje, aby takéto štandardy prijala prostredníctvom delegovaných aktov. Komisia</w:t>
      </w:r>
      <w:r w:rsidR="00F12C48">
        <w:rPr>
          <w:rStyle w:val="normaltextrun"/>
          <w:noProof/>
        </w:rPr>
        <w:t xml:space="preserve"> v </w:t>
      </w:r>
      <w:r w:rsidRPr="00F12C48">
        <w:rPr>
          <w:rStyle w:val="normaltextrun"/>
          <w:noProof/>
          <w:color w:val="000000"/>
          <w:shd w:val="clear" w:color="auto" w:fill="FFFFFF"/>
        </w:rPr>
        <w:t>júli 2023 prijala prvý súbor štandardov ESRS, ktoré sú odvetvovo neutrálne, čo znamená, že ich majú uplatňovať všetky podniky patriace do rozsahu pôsobnosti nezávisle od odvetvia hospodárstva,</w:t>
      </w:r>
      <w:r w:rsidR="00F12C48">
        <w:rPr>
          <w:rStyle w:val="normaltextrun"/>
          <w:noProof/>
          <w:color w:val="000000"/>
          <w:shd w:val="clear" w:color="auto" w:fill="FFFFFF"/>
        </w:rPr>
        <w:t xml:space="preserve"> v </w:t>
      </w:r>
      <w:r w:rsidRPr="00F12C48">
        <w:rPr>
          <w:rStyle w:val="normaltextrun"/>
          <w:noProof/>
          <w:color w:val="000000"/>
          <w:shd w:val="clear" w:color="auto" w:fill="FFFFFF"/>
        </w:rPr>
        <w:t>ktorom daný podnik pôsobí</w:t>
      </w:r>
      <w:r w:rsidRPr="00F12C48">
        <w:rPr>
          <w:rStyle w:val="Odkaznapoznmkupodiarou"/>
          <w:noProof/>
          <w:color w:val="000000"/>
        </w:rPr>
        <w:footnoteReference w:id="13"/>
      </w:r>
      <w:r w:rsidRPr="00F12C48">
        <w:rPr>
          <w:noProof/>
        </w:rPr>
        <w:t>.</w:t>
      </w:r>
      <w:r w:rsidR="00F12C48">
        <w:rPr>
          <w:rStyle w:val="normaltextrun"/>
          <w:noProof/>
          <w:color w:val="000000"/>
          <w:shd w:val="clear" w:color="auto" w:fill="FFFFFF"/>
        </w:rPr>
        <w:t xml:space="preserve"> V </w:t>
      </w:r>
      <w:r w:rsidRPr="00F12C48">
        <w:rPr>
          <w:rStyle w:val="normaltextrun"/>
          <w:noProof/>
          <w:color w:val="000000"/>
          <w:shd w:val="clear" w:color="auto" w:fill="FFFFFF"/>
        </w:rPr>
        <w:t>smernici CSRD sa vyžaduje aj to, aby Komisia prijala odvetvové štandardy vykazovania, pričom prvý súbor takýchto štandardov sa má prijať do júna 2026. Smernica CSRD umožňuje kótovaným MSP, aby namiesto úplného súboru ESRS vykazovali informácie</w:t>
      </w:r>
      <w:r w:rsidR="00F12C48">
        <w:rPr>
          <w:rStyle w:val="normaltextrun"/>
          <w:noProof/>
          <w:color w:val="000000"/>
          <w:shd w:val="clear" w:color="auto" w:fill="FFFFFF"/>
        </w:rPr>
        <w:t xml:space="preserve"> s </w:t>
      </w:r>
      <w:r w:rsidRPr="00F12C48">
        <w:rPr>
          <w:rStyle w:val="normaltextrun"/>
          <w:noProof/>
          <w:color w:val="000000"/>
          <w:shd w:val="clear" w:color="auto" w:fill="FFFFFF"/>
        </w:rPr>
        <w:t>použitím samostatného, jednoduchšieho primeraného súboru štandardov</w:t>
      </w:r>
      <w:r w:rsidR="00F12C48">
        <w:rPr>
          <w:rStyle w:val="normaltextrun"/>
          <w:noProof/>
          <w:color w:val="000000"/>
          <w:shd w:val="clear" w:color="auto" w:fill="FFFFFF"/>
        </w:rPr>
        <w:t>.</w:t>
      </w:r>
    </w:p>
    <w:p w14:paraId="4ADC343F" w14:textId="017497F2" w:rsidR="00A53DB0" w:rsidRPr="00F12C48" w:rsidRDefault="00A53DB0" w:rsidP="00A53DB0">
      <w:pPr>
        <w:pBdr>
          <w:top w:val="nil"/>
          <w:left w:val="nil"/>
          <w:bottom w:val="nil"/>
          <w:right w:val="nil"/>
          <w:between w:val="nil"/>
          <w:bar w:val="nil"/>
        </w:pBdr>
        <w:spacing w:before="0" w:after="240"/>
        <w:rPr>
          <w:rStyle w:val="eop"/>
          <w:noProof/>
          <w:shd w:val="clear" w:color="auto" w:fill="FFFFFF"/>
        </w:rPr>
      </w:pPr>
      <w:r w:rsidRPr="00F12C48">
        <w:rPr>
          <w:rStyle w:val="normaltextrun"/>
          <w:noProof/>
          <w:color w:val="000000"/>
          <w:shd w:val="clear" w:color="auto" w:fill="FFFFFF"/>
        </w:rPr>
        <w:t>Na žiadosť Komisie skupina EFRAG predložila štandard vykazovania informácií</w:t>
      </w:r>
      <w:r w:rsidR="00F12C48">
        <w:rPr>
          <w:rStyle w:val="normaltextrun"/>
          <w:noProof/>
          <w:color w:val="000000"/>
          <w:shd w:val="clear" w:color="auto" w:fill="FFFFFF"/>
        </w:rPr>
        <w:t xml:space="preserve"> o </w:t>
      </w:r>
      <w:r w:rsidRPr="00F12C48">
        <w:rPr>
          <w:rStyle w:val="normaltextrun"/>
          <w:noProof/>
          <w:color w:val="000000"/>
          <w:shd w:val="clear" w:color="auto" w:fill="FFFFFF"/>
        </w:rPr>
        <w:t>udržateľnosti, ktorý môžu dobrovoľne používať MSP, na ktoré sa nevzťahujú požiadavky na vykazovanie (štandard VSME)</w:t>
      </w:r>
      <w:r w:rsidRPr="00F12C48">
        <w:rPr>
          <w:rStyle w:val="Odkaznapoznmkupodiarou"/>
          <w:noProof/>
          <w:color w:val="000000"/>
        </w:rPr>
        <w:footnoteReference w:id="14"/>
      </w:r>
      <w:r w:rsidRPr="00F12C48">
        <w:rPr>
          <w:noProof/>
        </w:rPr>
        <w:t>.</w:t>
      </w:r>
      <w:r w:rsidRPr="00F12C48">
        <w:rPr>
          <w:rStyle w:val="normaltextrun"/>
          <w:noProof/>
          <w:color w:val="000000"/>
          <w:shd w:val="clear" w:color="auto" w:fill="FFFFFF"/>
        </w:rPr>
        <w:t xml:space="preserve"> Cieľom tohto štandardu VSME je poskytnúť MSP jednoduchý, všeobecne uznávaný nástroj, prostredníctvom ktorého môžu poskytovať informácie</w:t>
      </w:r>
      <w:r w:rsidR="00F12C48">
        <w:rPr>
          <w:rStyle w:val="normaltextrun"/>
          <w:noProof/>
          <w:color w:val="000000"/>
          <w:shd w:val="clear" w:color="auto" w:fill="FFFFFF"/>
        </w:rPr>
        <w:t xml:space="preserve"> o </w:t>
      </w:r>
      <w:r w:rsidRPr="00F12C48">
        <w:rPr>
          <w:rStyle w:val="normaltextrun"/>
          <w:noProof/>
          <w:color w:val="000000"/>
          <w:shd w:val="clear" w:color="auto" w:fill="FFFFFF"/>
        </w:rPr>
        <w:t>udržateľnosti bankám, veľkým spoločnostiam</w:t>
      </w:r>
      <w:r w:rsidR="00F12C48">
        <w:rPr>
          <w:rStyle w:val="normaltextrun"/>
          <w:noProof/>
          <w:color w:val="000000"/>
          <w:shd w:val="clear" w:color="auto" w:fill="FFFFFF"/>
        </w:rPr>
        <w:t xml:space="preserve"> a </w:t>
      </w:r>
      <w:r w:rsidRPr="00F12C48">
        <w:rPr>
          <w:rStyle w:val="normaltextrun"/>
          <w:noProof/>
          <w:color w:val="000000"/>
          <w:shd w:val="clear" w:color="auto" w:fill="FFFFFF"/>
        </w:rPr>
        <w:t>iným zainteresovaným stranám, ktoré môžu takéto informácie požadovať.</w:t>
      </w:r>
    </w:p>
    <w:p w14:paraId="707B5EE9" w14:textId="1E61DCDD" w:rsidR="00F12C48" w:rsidRDefault="00A53DB0" w:rsidP="00A53DB0">
      <w:pPr>
        <w:pBdr>
          <w:top w:val="nil"/>
          <w:left w:val="nil"/>
          <w:bottom w:val="nil"/>
          <w:right w:val="nil"/>
          <w:between w:val="nil"/>
          <w:bar w:val="nil"/>
        </w:pBdr>
        <w:spacing w:before="0" w:after="240"/>
        <w:rPr>
          <w:noProof/>
        </w:rPr>
      </w:pPr>
      <w:r w:rsidRPr="00F12C48">
        <w:rPr>
          <w:noProof/>
        </w:rPr>
        <w:t>Ďalším dôležitým aspektom smernice CSRD sú ustanovenia</w:t>
      </w:r>
      <w:r w:rsidR="00F12C48">
        <w:rPr>
          <w:noProof/>
        </w:rPr>
        <w:t xml:space="preserve"> o </w:t>
      </w:r>
      <w:r w:rsidRPr="00F12C48">
        <w:rPr>
          <w:noProof/>
        </w:rPr>
        <w:t>uistení</w:t>
      </w:r>
      <w:r w:rsidR="00F12C48">
        <w:rPr>
          <w:noProof/>
        </w:rPr>
        <w:t xml:space="preserve"> a </w:t>
      </w:r>
      <w:r w:rsidRPr="00F12C48">
        <w:rPr>
          <w:noProof/>
        </w:rPr>
        <w:t>vykazovaní informácií</w:t>
      </w:r>
      <w:r w:rsidR="00F12C48">
        <w:rPr>
          <w:noProof/>
        </w:rPr>
        <w:t xml:space="preserve"> o </w:t>
      </w:r>
      <w:r w:rsidRPr="00F12C48">
        <w:rPr>
          <w:noProof/>
        </w:rPr>
        <w:t>hodnotovom reťazci. Podniky musia uverejňovať svoje informácie</w:t>
      </w:r>
      <w:r w:rsidR="00F12C48">
        <w:rPr>
          <w:noProof/>
        </w:rPr>
        <w:t xml:space="preserve"> o </w:t>
      </w:r>
      <w:r w:rsidRPr="00F12C48">
        <w:rPr>
          <w:noProof/>
        </w:rPr>
        <w:t>udržateľnosti spolu so stanoviskom štatutárneho audítora alebo, ak to umožňujú členské štáty, nezávislého poskytovateľa uisťovacích služieb. Súčasná požiadavka sa týka limitovaného uistenia, pričom</w:t>
      </w:r>
      <w:r w:rsidR="00F12C48">
        <w:rPr>
          <w:noProof/>
        </w:rPr>
        <w:t xml:space="preserve"> v </w:t>
      </w:r>
      <w:r w:rsidRPr="00F12C48">
        <w:rPr>
          <w:noProof/>
        </w:rPr>
        <w:t>smernici CSRD sa stanovuje, že táto požiadavka by sa</w:t>
      </w:r>
      <w:r w:rsidR="00F12C48">
        <w:rPr>
          <w:noProof/>
        </w:rPr>
        <w:t xml:space="preserve"> v </w:t>
      </w:r>
      <w:r w:rsidRPr="00F12C48">
        <w:rPr>
          <w:noProof/>
        </w:rPr>
        <w:t>budúcnosti za určitých podmienok mohla zmeniť na primerané uistenie</w:t>
      </w:r>
      <w:r w:rsidRPr="00F12C48">
        <w:rPr>
          <w:rStyle w:val="Odkaznapoznmkupodiarou"/>
          <w:rFonts w:eastAsia="Arial Unicode MS"/>
          <w:noProof/>
          <w:lang w:eastAsia="en-GB"/>
        </w:rPr>
        <w:footnoteReference w:id="15"/>
      </w:r>
      <w:r w:rsidRPr="00F12C48">
        <w:rPr>
          <w:noProof/>
        </w:rPr>
        <w:t>.</w:t>
      </w:r>
      <w:r w:rsidR="00F12C48">
        <w:rPr>
          <w:noProof/>
        </w:rPr>
        <w:t xml:space="preserve"> V </w:t>
      </w:r>
      <w:r w:rsidRPr="00F12C48">
        <w:rPr>
          <w:noProof/>
        </w:rPr>
        <w:t>smernici CSRD sa zároveň vyžaduje, aby Komisia prijala štandardy pre uistenie</w:t>
      </w:r>
      <w:r w:rsidR="00F12C48">
        <w:rPr>
          <w:noProof/>
        </w:rPr>
        <w:t xml:space="preserve"> o </w:t>
      </w:r>
      <w:r w:rsidRPr="00F12C48">
        <w:rPr>
          <w:noProof/>
        </w:rPr>
        <w:t>udržateľnosti prostredníctvom delegovaných aktov</w:t>
      </w:r>
      <w:r w:rsidR="00F12C48">
        <w:rPr>
          <w:noProof/>
        </w:rPr>
        <w:t>.</w:t>
      </w:r>
    </w:p>
    <w:p w14:paraId="1B7815EA" w14:textId="058CB9B9" w:rsidR="00F12C48" w:rsidRDefault="00A53DB0" w:rsidP="00A53DB0">
      <w:pPr>
        <w:pBdr>
          <w:top w:val="nil"/>
          <w:left w:val="nil"/>
          <w:bottom w:val="nil"/>
          <w:right w:val="nil"/>
          <w:between w:val="nil"/>
          <w:bar w:val="nil"/>
        </w:pBdr>
        <w:spacing w:before="0" w:after="240"/>
        <w:rPr>
          <w:noProof/>
        </w:rPr>
      </w:pPr>
      <w:r w:rsidRPr="00F12C48">
        <w:rPr>
          <w:noProof/>
        </w:rPr>
        <w:t>V smernici CSRD sa vyžaduje, aby podniky vykazovali informácie</w:t>
      </w:r>
      <w:r w:rsidR="00F12C48">
        <w:rPr>
          <w:noProof/>
        </w:rPr>
        <w:t xml:space="preserve"> o </w:t>
      </w:r>
      <w:r w:rsidRPr="00F12C48">
        <w:rPr>
          <w:noProof/>
        </w:rPr>
        <w:t>hodnotovom reťazci</w:t>
      </w:r>
      <w:r w:rsidR="00F12C48">
        <w:rPr>
          <w:noProof/>
        </w:rPr>
        <w:t xml:space="preserve"> v </w:t>
      </w:r>
      <w:r w:rsidRPr="00F12C48">
        <w:rPr>
          <w:noProof/>
        </w:rPr>
        <w:t>rozsahu potrebnom na pochopenie ich vplyvov, rizík</w:t>
      </w:r>
      <w:r w:rsidR="00F12C48">
        <w:rPr>
          <w:noProof/>
        </w:rPr>
        <w:t xml:space="preserve"> a </w:t>
      </w:r>
      <w:r w:rsidRPr="00F12C48">
        <w:rPr>
          <w:noProof/>
        </w:rPr>
        <w:t>príležitostí súvisiacich</w:t>
      </w:r>
      <w:r w:rsidR="00F12C48">
        <w:rPr>
          <w:noProof/>
        </w:rPr>
        <w:t xml:space="preserve"> s </w:t>
      </w:r>
      <w:r w:rsidRPr="00F12C48">
        <w:rPr>
          <w:noProof/>
        </w:rPr>
        <w:t>udržateľnosťou.</w:t>
      </w:r>
      <w:r w:rsidR="00F12C48">
        <w:rPr>
          <w:noProof/>
        </w:rPr>
        <w:t xml:space="preserve"> V </w:t>
      </w:r>
      <w:r w:rsidRPr="00F12C48">
        <w:rPr>
          <w:noProof/>
        </w:rPr>
        <w:t>smernici CSRD sa stanovuje tzv. horné ohraničenie hodnotového reťazca,</w:t>
      </w:r>
      <w:r w:rsidR="00F12C48">
        <w:rPr>
          <w:noProof/>
        </w:rPr>
        <w:t xml:space="preserve"> v </w:t>
      </w:r>
      <w:r w:rsidRPr="00F12C48">
        <w:rPr>
          <w:noProof/>
        </w:rPr>
        <w:t>ktorom sa uvádza, že štandardy ESRS nesmú obsahovať požiadavky na vykazovanie, ktoré by od podnikov vyžadovali, aby od MSP</w:t>
      </w:r>
      <w:r w:rsidR="00F12C48">
        <w:rPr>
          <w:noProof/>
        </w:rPr>
        <w:t xml:space="preserve"> v </w:t>
      </w:r>
      <w:r w:rsidRPr="00F12C48">
        <w:rPr>
          <w:noProof/>
        </w:rPr>
        <w:t xml:space="preserve">ich hodnotovom reťazci </w:t>
      </w:r>
      <w:r w:rsidRPr="00F12C48">
        <w:rPr>
          <w:noProof/>
        </w:rPr>
        <w:lastRenderedPageBreak/>
        <w:t>získavali informácie nad rámec informácií, ktoré sa majú zverejniť na základe príslušného štandardu pre kótované MSP</w:t>
      </w:r>
      <w:r w:rsidR="00F12C48">
        <w:rPr>
          <w:noProof/>
        </w:rPr>
        <w:t>.</w:t>
      </w:r>
    </w:p>
    <w:p w14:paraId="376DF68A" w14:textId="757E6206" w:rsidR="00A53DB0" w:rsidRPr="00F12C48" w:rsidRDefault="005E4A88" w:rsidP="00A53DB0">
      <w:pPr>
        <w:pBdr>
          <w:top w:val="nil"/>
          <w:left w:val="nil"/>
          <w:bottom w:val="nil"/>
          <w:right w:val="nil"/>
          <w:between w:val="nil"/>
          <w:bar w:val="nil"/>
        </w:pBdr>
        <w:spacing w:before="0" w:after="240"/>
        <w:rPr>
          <w:noProof/>
        </w:rPr>
      </w:pPr>
      <w:r w:rsidRPr="00F12C48">
        <w:rPr>
          <w:noProof/>
        </w:rPr>
        <w:t>Cieľom tohto návrhu je znížiť záťaž spojenú</w:t>
      </w:r>
      <w:r w:rsidR="00F12C48">
        <w:rPr>
          <w:noProof/>
        </w:rPr>
        <w:t xml:space="preserve"> s </w:t>
      </w:r>
      <w:r w:rsidRPr="00F12C48">
        <w:rPr>
          <w:noProof/>
        </w:rPr>
        <w:t>vykazovaním</w:t>
      </w:r>
      <w:r w:rsidR="00F12C48">
        <w:rPr>
          <w:noProof/>
        </w:rPr>
        <w:t xml:space="preserve"> a </w:t>
      </w:r>
      <w:r w:rsidRPr="00F12C48">
        <w:rPr>
          <w:noProof/>
        </w:rPr>
        <w:t>obmedziť účinok prenosu zaťaženia na menšie spoločnosti. Po prvé, samostatný legislatívny návrh, ktorý Komisia predložila súbežne</w:t>
      </w:r>
      <w:r w:rsidR="00F12C48">
        <w:rPr>
          <w:noProof/>
        </w:rPr>
        <w:t xml:space="preserve"> s </w:t>
      </w:r>
      <w:r w:rsidRPr="00F12C48">
        <w:rPr>
          <w:noProof/>
        </w:rPr>
        <w:t>týmto návrhom, by zjednodušil rámec</w:t>
      </w:r>
      <w:r w:rsidR="00F12C48">
        <w:rPr>
          <w:noProof/>
        </w:rPr>
        <w:t xml:space="preserve"> a </w:t>
      </w:r>
      <w:r w:rsidRPr="00F12C48">
        <w:rPr>
          <w:noProof/>
        </w:rPr>
        <w:t>znížil zaťaženie týmito spôsobmi:</w:t>
      </w:r>
    </w:p>
    <w:p w14:paraId="1097D112" w14:textId="52139434" w:rsidR="00A53DB0" w:rsidRPr="00F12C48" w:rsidRDefault="00A53DB0" w:rsidP="00B90811">
      <w:pPr>
        <w:pStyle w:val="Tiret0"/>
        <w:numPr>
          <w:ilvl w:val="0"/>
          <w:numId w:val="19"/>
        </w:numPr>
        <w:rPr>
          <w:noProof/>
        </w:rPr>
      </w:pPr>
      <w:r w:rsidRPr="00F12C48">
        <w:rPr>
          <w:noProof/>
        </w:rPr>
        <w:t>Počet podnikov, na ktoré sa vzťahujú povinné požiadavky na vykazovanie informácií</w:t>
      </w:r>
      <w:r w:rsidR="00F12C48">
        <w:rPr>
          <w:noProof/>
        </w:rPr>
        <w:t xml:space="preserve"> o </w:t>
      </w:r>
      <w:r w:rsidRPr="00F12C48">
        <w:rPr>
          <w:noProof/>
        </w:rPr>
        <w:t>udržateľnosti, by sa znížil približne</w:t>
      </w:r>
      <w:r w:rsidR="00F12C48">
        <w:rPr>
          <w:noProof/>
        </w:rPr>
        <w:t xml:space="preserve"> o </w:t>
      </w:r>
      <w:r w:rsidRPr="00F12C48">
        <w:rPr>
          <w:noProof/>
        </w:rPr>
        <w:t>80</w:t>
      </w:r>
      <w:r w:rsidR="00F12C48">
        <w:rPr>
          <w:noProof/>
        </w:rPr>
        <w:t> %</w:t>
      </w:r>
      <w:r w:rsidRPr="00F12C48">
        <w:rPr>
          <w:noProof/>
        </w:rPr>
        <w:t>, pričom by sa</w:t>
      </w:r>
      <w:r w:rsidR="00F12C48">
        <w:rPr>
          <w:noProof/>
        </w:rPr>
        <w:t xml:space="preserve"> z </w:t>
      </w:r>
      <w:r w:rsidRPr="00F12C48">
        <w:rPr>
          <w:noProof/>
        </w:rPr>
        <w:t>rozsahu pôsobnosti vyňali veľké podniky do 1 000 zamestnancov (t. j. niektoré podniky</w:t>
      </w:r>
      <w:r w:rsidR="00F12C48">
        <w:rPr>
          <w:noProof/>
        </w:rPr>
        <w:t xml:space="preserve"> z </w:t>
      </w:r>
      <w:r w:rsidRPr="00F12C48">
        <w:rPr>
          <w:noProof/>
        </w:rPr>
        <w:t>druhej vlny</w:t>
      </w:r>
      <w:r w:rsidR="00F12C48">
        <w:rPr>
          <w:noProof/>
        </w:rPr>
        <w:t xml:space="preserve"> a </w:t>
      </w:r>
      <w:r w:rsidRPr="00F12C48">
        <w:rPr>
          <w:noProof/>
        </w:rPr>
        <w:t>niektoré podniky</w:t>
      </w:r>
      <w:r w:rsidR="00F12C48">
        <w:rPr>
          <w:noProof/>
        </w:rPr>
        <w:t xml:space="preserve"> z </w:t>
      </w:r>
      <w:r w:rsidRPr="00F12C48">
        <w:rPr>
          <w:noProof/>
        </w:rPr>
        <w:t>prvej vlny)</w:t>
      </w:r>
      <w:r w:rsidR="00F12C48">
        <w:rPr>
          <w:noProof/>
        </w:rPr>
        <w:t xml:space="preserve"> a </w:t>
      </w:r>
      <w:r w:rsidRPr="00F12C48">
        <w:rPr>
          <w:noProof/>
        </w:rPr>
        <w:t>kótované MSP (t. j. všetky podniky</w:t>
      </w:r>
      <w:r w:rsidR="00F12C48">
        <w:rPr>
          <w:noProof/>
        </w:rPr>
        <w:t xml:space="preserve"> v </w:t>
      </w:r>
      <w:r w:rsidRPr="00F12C48">
        <w:rPr>
          <w:noProof/>
        </w:rPr>
        <w:t>tretej vlne). Požiadavky na vykazovanie by sa vzťahovali len na veľké podniky, ktoré majú</w:t>
      </w:r>
      <w:r w:rsidR="00F12C48">
        <w:rPr>
          <w:noProof/>
        </w:rPr>
        <w:t xml:space="preserve"> v </w:t>
      </w:r>
      <w:r w:rsidRPr="00F12C48">
        <w:rPr>
          <w:noProof/>
        </w:rPr>
        <w:t>priemere viac než 1 000 zamestnancov (t. j. podniky, ktoré majú viac než 1 000 zamestnancov</w:t>
      </w:r>
      <w:r w:rsidR="00F12C48">
        <w:rPr>
          <w:noProof/>
        </w:rPr>
        <w:t xml:space="preserve"> a </w:t>
      </w:r>
      <w:r w:rsidRPr="00F12C48">
        <w:rPr>
          <w:noProof/>
        </w:rPr>
        <w:t>buď obrat presahujúci 50 miliónov EUR, alebo súvahu presahujúcu 25 miliónov EUR). Touto revidovanou prahovou hodnotou by sa smernica CSRD uviedla do väčšieho súladu so smernicou CSDDD</w:t>
      </w:r>
      <w:r w:rsidRPr="00F12C48">
        <w:rPr>
          <w:rStyle w:val="Odkaznapoznmkupodiarou"/>
          <w:rFonts w:eastAsia="Arial Unicode MS"/>
          <w:noProof/>
        </w:rPr>
        <w:footnoteReference w:id="16"/>
      </w:r>
      <w:r w:rsidRPr="00F12C48">
        <w:rPr>
          <w:noProof/>
        </w:rPr>
        <w:t>.</w:t>
      </w:r>
    </w:p>
    <w:p w14:paraId="2B3C5736" w14:textId="64CA7DF4" w:rsidR="00494487" w:rsidRPr="00F12C48" w:rsidRDefault="00494487" w:rsidP="00DD2BEC">
      <w:pPr>
        <w:pStyle w:val="Tiret0"/>
        <w:rPr>
          <w:noProof/>
        </w:rPr>
      </w:pPr>
      <w:r w:rsidRPr="00F12C48">
        <w:rPr>
          <w:noProof/>
        </w:rPr>
        <w:t>Pre podniky, na ktoré sa nevzťahujú povinné požiadavky na vykazovanie informácií</w:t>
      </w:r>
      <w:r w:rsidR="00F12C48">
        <w:rPr>
          <w:noProof/>
        </w:rPr>
        <w:t xml:space="preserve"> o </w:t>
      </w:r>
      <w:r w:rsidRPr="00F12C48">
        <w:rPr>
          <w:noProof/>
        </w:rPr>
        <w:t>udržateľnosti, Komisia navrhuje primeraný štandard pre dobrovoľné používanie, ktorý by vychádzal zo štandardu VSME, ktorý vypracovala skupina EFRAG. Podľa tohto návrhu by Komisia tento dobrovoľný štandard prijala formou delegovaného aktu.</w:t>
      </w:r>
      <w:r w:rsidR="00F12C48">
        <w:rPr>
          <w:noProof/>
        </w:rPr>
        <w:t xml:space="preserve"> V </w:t>
      </w:r>
      <w:r w:rsidRPr="00F12C48">
        <w:rPr>
          <w:noProof/>
        </w:rPr>
        <w:t>snahe riešiť dopyt na trhu má Komisia medzitým</w:t>
      </w:r>
      <w:r w:rsidR="00F12C48">
        <w:rPr>
          <w:noProof/>
        </w:rPr>
        <w:t xml:space="preserve"> v </w:t>
      </w:r>
      <w:r w:rsidRPr="00F12C48">
        <w:rPr>
          <w:noProof/>
        </w:rPr>
        <w:t>úmysle čo najskôr vydať odporúčanie</w:t>
      </w:r>
      <w:r w:rsidR="00F12C48">
        <w:rPr>
          <w:noProof/>
        </w:rPr>
        <w:t xml:space="preserve"> o </w:t>
      </w:r>
      <w:r w:rsidRPr="00F12C48">
        <w:rPr>
          <w:noProof/>
        </w:rPr>
        <w:t>dobrovoľnom vykazovaní informácií</w:t>
      </w:r>
      <w:r w:rsidR="00F12C48">
        <w:rPr>
          <w:noProof/>
        </w:rPr>
        <w:t xml:space="preserve"> o </w:t>
      </w:r>
      <w:r w:rsidRPr="00F12C48">
        <w:rPr>
          <w:noProof/>
        </w:rPr>
        <w:t>udržateľnosti na základe štandardu VSME, ktorý vypracovala skupina EFRAG.</w:t>
      </w:r>
    </w:p>
    <w:p w14:paraId="44EA8AE2" w14:textId="23FE4D14" w:rsidR="00A53DB0" w:rsidRPr="00F12C48" w:rsidRDefault="00A53DB0" w:rsidP="00DD2BEC">
      <w:pPr>
        <w:pStyle w:val="Tiret0"/>
        <w:rPr>
          <w:noProof/>
        </w:rPr>
      </w:pPr>
      <w:r w:rsidRPr="00F12C48">
        <w:rPr>
          <w:noProof/>
        </w:rPr>
        <w:t>Rozšírilo</w:t>
      </w:r>
      <w:r w:rsidR="00F12C48">
        <w:rPr>
          <w:noProof/>
        </w:rPr>
        <w:t xml:space="preserve"> a </w:t>
      </w:r>
      <w:r w:rsidRPr="00F12C48">
        <w:rPr>
          <w:noProof/>
        </w:rPr>
        <w:t>posilnilo by sa</w:t>
      </w:r>
      <w:r w:rsidR="00F12C48">
        <w:rPr>
          <w:noProof/>
        </w:rPr>
        <w:t xml:space="preserve"> v </w:t>
      </w:r>
      <w:r w:rsidRPr="00F12C48">
        <w:rPr>
          <w:noProof/>
        </w:rPr>
        <w:t>ňom horné ohraničenie hodnotového reťazca. Namiesto toho, aby bol len limitom toho, čo sa môže</w:t>
      </w:r>
      <w:r w:rsidR="00F12C48">
        <w:rPr>
          <w:noProof/>
        </w:rPr>
        <w:t xml:space="preserve"> v </w:t>
      </w:r>
      <w:r w:rsidRPr="00F12C48">
        <w:rPr>
          <w:noProof/>
        </w:rPr>
        <w:t>štandardoch ESRS špecifikovať, by sa vzťahoval priamo na vykazujúcu spoločnosť. Chránil by všetky podniky, ktoré majú do 1 000 zamestnancov,</w:t>
      </w:r>
      <w:r w:rsidR="00F12C48">
        <w:rPr>
          <w:noProof/>
        </w:rPr>
        <w:t xml:space="preserve"> a </w:t>
      </w:r>
      <w:r w:rsidRPr="00F12C48">
        <w:rPr>
          <w:noProof/>
        </w:rPr>
        <w:t>nie len malé</w:t>
      </w:r>
      <w:r w:rsidR="00F12C48">
        <w:rPr>
          <w:noProof/>
        </w:rPr>
        <w:t xml:space="preserve"> a </w:t>
      </w:r>
      <w:r w:rsidRPr="00F12C48">
        <w:rPr>
          <w:noProof/>
        </w:rPr>
        <w:t>stredné podniky, ako je to</w:t>
      </w:r>
      <w:r w:rsidR="00F12C48">
        <w:rPr>
          <w:noProof/>
        </w:rPr>
        <w:t xml:space="preserve"> v </w:t>
      </w:r>
      <w:r w:rsidRPr="00F12C48">
        <w:rPr>
          <w:noProof/>
        </w:rPr>
        <w:t>súčasnosti. A príslušný limit by sa vymedzil</w:t>
      </w:r>
      <w:r w:rsidR="00F12C48">
        <w:rPr>
          <w:noProof/>
        </w:rPr>
        <w:t xml:space="preserve"> v </w:t>
      </w:r>
      <w:r w:rsidRPr="00F12C48">
        <w:rPr>
          <w:noProof/>
        </w:rPr>
        <w:t>dobrovoľnom štandarde, ktorý by na základe štandardu VSME vypracovaného skupinou EFRAG prijala Komisia formou delegovaného aktu.  Tým sa výrazne obmedzí účinok prenosu zaťaženia na menšie podniky.</w:t>
      </w:r>
    </w:p>
    <w:p w14:paraId="4A3CAF4F" w14:textId="77777777" w:rsidR="00F12C48" w:rsidRDefault="00A53DB0" w:rsidP="00DD2BEC">
      <w:pPr>
        <w:pStyle w:val="Tiret0"/>
        <w:rPr>
          <w:noProof/>
        </w:rPr>
      </w:pPr>
      <w:r w:rsidRPr="00F12C48">
        <w:rPr>
          <w:noProof/>
        </w:rPr>
        <w:t>Neexistovali by žiadne odvetvové štandardy vykazovania, čím by sa zabránilo nárastu počtu predpísaných údajových bodov, ktoré by podniky mali vykazovať</w:t>
      </w:r>
      <w:r w:rsidR="00F12C48">
        <w:rPr>
          <w:noProof/>
        </w:rPr>
        <w:t>.</w:t>
      </w:r>
    </w:p>
    <w:p w14:paraId="47259EE1" w14:textId="7176C420" w:rsidR="00F12C48" w:rsidRDefault="00A53DB0" w:rsidP="00DD2BEC">
      <w:pPr>
        <w:pStyle w:val="Tiret0"/>
        <w:rPr>
          <w:noProof/>
        </w:rPr>
      </w:pPr>
      <w:r w:rsidRPr="00F12C48">
        <w:rPr>
          <w:noProof/>
        </w:rPr>
        <w:t>Odstránila by sa možnosť prejsť od požiadavky limitovaného uistenia</w:t>
      </w:r>
      <w:r w:rsidR="00F12C48">
        <w:rPr>
          <w:noProof/>
        </w:rPr>
        <w:t xml:space="preserve"> k </w:t>
      </w:r>
      <w:r w:rsidRPr="00F12C48">
        <w:rPr>
          <w:noProof/>
        </w:rPr>
        <w:t>požiadavke primeraného uistenia. Tým sa objasní, že podniky patriace do rozsahu pôsobnosti nebudú musieť</w:t>
      </w:r>
      <w:r w:rsidR="00F12C48">
        <w:rPr>
          <w:noProof/>
        </w:rPr>
        <w:t xml:space="preserve"> v </w:t>
      </w:r>
      <w:r w:rsidRPr="00F12C48">
        <w:rPr>
          <w:noProof/>
        </w:rPr>
        <w:t>budúcnosti čeliť žiadnemu zvýšeniu nákladov na uistenie</w:t>
      </w:r>
      <w:r w:rsidR="00F12C48">
        <w:rPr>
          <w:noProof/>
        </w:rPr>
        <w:t>.</w:t>
      </w:r>
    </w:p>
    <w:p w14:paraId="67A9CDA0" w14:textId="25518DD5" w:rsidR="00557418" w:rsidRPr="00F12C48" w:rsidRDefault="00120567" w:rsidP="00DD2BEC">
      <w:pPr>
        <w:pStyle w:val="Tiret0"/>
        <w:rPr>
          <w:noProof/>
        </w:rPr>
      </w:pPr>
      <w:r w:rsidRPr="00F12C48">
        <w:rPr>
          <w:noProof/>
        </w:rPr>
        <w:t>Namiesto povinnosti Komisie prijať štandardy pre uistenie</w:t>
      </w:r>
      <w:r w:rsidR="00F12C48">
        <w:rPr>
          <w:noProof/>
        </w:rPr>
        <w:t xml:space="preserve"> v </w:t>
      </w:r>
      <w:r w:rsidRPr="00F12C48">
        <w:rPr>
          <w:noProof/>
        </w:rPr>
        <w:t>oblasti udržateľnosti do roku 2026 Komisia do roku 2026 vydá usmernenia pre cielené uistenie. To Komisii umožní rýchlejšie riešiť vznikajúce problémy</w:t>
      </w:r>
      <w:r w:rsidR="00F12C48">
        <w:rPr>
          <w:noProof/>
        </w:rPr>
        <w:t xml:space="preserve"> v </w:t>
      </w:r>
      <w:r w:rsidRPr="00F12C48">
        <w:rPr>
          <w:noProof/>
        </w:rPr>
        <w:t>oblasti uistenia</w:t>
      </w:r>
      <w:r w:rsidR="00F12C48">
        <w:rPr>
          <w:noProof/>
        </w:rPr>
        <w:t xml:space="preserve"> o </w:t>
      </w:r>
      <w:r w:rsidRPr="00F12C48">
        <w:rPr>
          <w:noProof/>
        </w:rPr>
        <w:t xml:space="preserve">udržateľnosti, ktoré </w:t>
      </w:r>
      <w:r w:rsidRPr="00F12C48">
        <w:rPr>
          <w:noProof/>
        </w:rPr>
        <w:lastRenderedPageBreak/>
        <w:t>môžu spôsobiť zbytočné zaťaženie podnikov, na ktoré sa vzťahujú požiadavky na vykazovanie.</w:t>
      </w:r>
    </w:p>
    <w:p w14:paraId="78426277" w14:textId="5EF68223" w:rsidR="00A53DB0" w:rsidRPr="00F12C48" w:rsidRDefault="42A06590" w:rsidP="00DD2BEC">
      <w:pPr>
        <w:pStyle w:val="Tiret0"/>
        <w:rPr>
          <w:noProof/>
        </w:rPr>
      </w:pPr>
      <w:r w:rsidRPr="00F12C48">
        <w:rPr>
          <w:noProof/>
        </w:rPr>
        <w:t>Návrhom sa zavádza režim možnosti uplatňovania („opt-in“),</w:t>
      </w:r>
      <w:r w:rsidR="00F12C48">
        <w:rPr>
          <w:noProof/>
        </w:rPr>
        <w:t xml:space="preserve"> v </w:t>
      </w:r>
      <w:r w:rsidRPr="00F12C48">
        <w:rPr>
          <w:noProof/>
        </w:rPr>
        <w:t>rámci ktorého veľké podniky, ktoré majú</w:t>
      </w:r>
      <w:r w:rsidR="00F12C48">
        <w:rPr>
          <w:noProof/>
        </w:rPr>
        <w:t xml:space="preserve"> v </w:t>
      </w:r>
      <w:r w:rsidRPr="00F12C48">
        <w:rPr>
          <w:noProof/>
        </w:rPr>
        <w:t>priemere viac než 1 000 zamestnancov (t. j. podniky, ktoré majú viac než 1 000 zamestnancov</w:t>
      </w:r>
      <w:r w:rsidR="00F12C48">
        <w:rPr>
          <w:noProof/>
        </w:rPr>
        <w:t xml:space="preserve"> a </w:t>
      </w:r>
      <w:r w:rsidRPr="00F12C48">
        <w:rPr>
          <w:noProof/>
        </w:rPr>
        <w:t>buď obrat presahujúci 50 miliónov EUR, alebo súvahu presahujúcu 25 miliónov EUR)</w:t>
      </w:r>
      <w:r w:rsidR="00F12C48">
        <w:rPr>
          <w:noProof/>
        </w:rPr>
        <w:t xml:space="preserve"> a </w:t>
      </w:r>
      <w:r w:rsidRPr="00F12C48">
        <w:rPr>
          <w:noProof/>
        </w:rPr>
        <w:t>čistý obrat nepresahujúci 450 miliónov EUR, ktoré deklarujú, že ich činnosti sú zosúladené alebo čiastočne zosúladené</w:t>
      </w:r>
      <w:r w:rsidR="00F12C48">
        <w:rPr>
          <w:noProof/>
        </w:rPr>
        <w:t xml:space="preserve"> s </w:t>
      </w:r>
      <w:r w:rsidRPr="00F12C48">
        <w:rPr>
          <w:noProof/>
        </w:rPr>
        <w:t>taxonómiou EÚ, zverejňujú svoje KPI týkajúce sa obratu</w:t>
      </w:r>
      <w:r w:rsidR="00F12C48">
        <w:rPr>
          <w:noProof/>
        </w:rPr>
        <w:t xml:space="preserve"> a </w:t>
      </w:r>
      <w:r w:rsidRPr="00F12C48">
        <w:rPr>
          <w:noProof/>
        </w:rPr>
        <w:t>kapitálových výdavkov</w:t>
      </w:r>
      <w:r w:rsidR="00F12C48">
        <w:rPr>
          <w:noProof/>
        </w:rPr>
        <w:t xml:space="preserve"> a </w:t>
      </w:r>
      <w:r w:rsidRPr="00F12C48">
        <w:rPr>
          <w:noProof/>
        </w:rPr>
        <w:t>môžu sa rozhodnúť, že budú zverejňovať svoje KPI týkajúce sa prevádzkových výdavkov. Týmto prístupom založeným na možnosti uplatňovania sa úplne eliminujú náklady na dodržiavanie pravidiel vykazovania</w:t>
      </w:r>
      <w:r w:rsidR="00F12C48">
        <w:rPr>
          <w:noProof/>
        </w:rPr>
        <w:t xml:space="preserve"> v </w:t>
      </w:r>
      <w:r w:rsidRPr="00F12C48">
        <w:rPr>
          <w:noProof/>
        </w:rPr>
        <w:t>rámci taxonómie pre veľké podniky, ktoré majú</w:t>
      </w:r>
      <w:r w:rsidR="00F12C48">
        <w:rPr>
          <w:noProof/>
        </w:rPr>
        <w:t xml:space="preserve"> v </w:t>
      </w:r>
      <w:r w:rsidRPr="00F12C48">
        <w:rPr>
          <w:noProof/>
        </w:rPr>
        <w:t>priemere viac než 1 000 zamestnancov (t. j. podniky, ktoré majú viac než 1 000 zamestnancov</w:t>
      </w:r>
      <w:r w:rsidR="00F12C48">
        <w:rPr>
          <w:noProof/>
        </w:rPr>
        <w:t xml:space="preserve"> a </w:t>
      </w:r>
      <w:r w:rsidRPr="00F12C48">
        <w:rPr>
          <w:noProof/>
        </w:rPr>
        <w:t>buď obrat presahujúci 50 miliónov EUR, alebo súvahu presahujúcu 25 miliónov EUR)</w:t>
      </w:r>
      <w:r w:rsidR="00F12C48">
        <w:rPr>
          <w:noProof/>
        </w:rPr>
        <w:t xml:space="preserve"> a </w:t>
      </w:r>
      <w:r w:rsidRPr="00F12C48">
        <w:rPr>
          <w:noProof/>
        </w:rPr>
        <w:t>čistý obrat nepresahujúci 450 miliónov EUR, ktoré nedeklarujú, že ich činnosti súvisia</w:t>
      </w:r>
      <w:r w:rsidR="00F12C48">
        <w:rPr>
          <w:noProof/>
        </w:rPr>
        <w:t xml:space="preserve"> s </w:t>
      </w:r>
      <w:r w:rsidRPr="00F12C48">
        <w:rPr>
          <w:noProof/>
        </w:rPr>
        <w:t>hospodárskymi činnosťami, ktoré sa podľa nariadenia</w:t>
      </w:r>
      <w:r w:rsidR="00F12C48">
        <w:rPr>
          <w:noProof/>
        </w:rPr>
        <w:t xml:space="preserve"> o </w:t>
      </w:r>
      <w:r w:rsidRPr="00F12C48">
        <w:rPr>
          <w:noProof/>
        </w:rPr>
        <w:t>taxonómii považujú za environmentálne udržateľné. Tento návrh navyše poskytuje väčšiu flexibilitu, keďže týmto podnikom umožňuje vykazovať informácie</w:t>
      </w:r>
      <w:r w:rsidR="00F12C48">
        <w:rPr>
          <w:noProof/>
        </w:rPr>
        <w:t xml:space="preserve"> o </w:t>
      </w:r>
      <w:r w:rsidRPr="00F12C48">
        <w:rPr>
          <w:noProof/>
        </w:rPr>
        <w:t>činnostiach, ktoré spĺňajú určité technické kritériá preskúmania</w:t>
      </w:r>
      <w:r w:rsidR="00F12C48">
        <w:rPr>
          <w:noProof/>
        </w:rPr>
        <w:t xml:space="preserve"> v </w:t>
      </w:r>
      <w:r w:rsidRPr="00F12C48">
        <w:rPr>
          <w:noProof/>
        </w:rPr>
        <w:t>rámci taxonómie bez toho, aby spĺňali všetky</w:t>
      </w:r>
      <w:r w:rsidR="00F12C48">
        <w:rPr>
          <w:noProof/>
        </w:rPr>
        <w:t xml:space="preserve"> z </w:t>
      </w:r>
      <w:r w:rsidRPr="00F12C48">
        <w:rPr>
          <w:noProof/>
        </w:rPr>
        <w:t>nich. Takéto vykazovanie informácií</w:t>
      </w:r>
      <w:r w:rsidR="00F12C48">
        <w:rPr>
          <w:noProof/>
        </w:rPr>
        <w:t xml:space="preserve"> o </w:t>
      </w:r>
      <w:r w:rsidRPr="00F12C48">
        <w:rPr>
          <w:noProof/>
        </w:rPr>
        <w:t>čiastočnom zosúladení môže podporiť postupnú environmentálnu transformáciu činností</w:t>
      </w:r>
      <w:r w:rsidR="00F12C48">
        <w:rPr>
          <w:noProof/>
        </w:rPr>
        <w:t xml:space="preserve"> v </w:t>
      </w:r>
      <w:r w:rsidRPr="00F12C48">
        <w:rPr>
          <w:noProof/>
        </w:rPr>
        <w:t>priebehu času</w:t>
      </w:r>
      <w:r w:rsidR="00F12C48">
        <w:rPr>
          <w:noProof/>
        </w:rPr>
        <w:t xml:space="preserve"> v </w:t>
      </w:r>
      <w:r w:rsidRPr="00F12C48">
        <w:rPr>
          <w:noProof/>
        </w:rPr>
        <w:t>súlade</w:t>
      </w:r>
      <w:r w:rsidR="00F12C48">
        <w:rPr>
          <w:noProof/>
        </w:rPr>
        <w:t xml:space="preserve"> s </w:t>
      </w:r>
      <w:r w:rsidRPr="00F12C48">
        <w:rPr>
          <w:noProof/>
        </w:rPr>
        <w:t>cieľom zvýšiť financovanie transformácie.</w:t>
      </w:r>
    </w:p>
    <w:p w14:paraId="7926D783" w14:textId="12D66597" w:rsidR="00F12C48" w:rsidRDefault="00A53DB0" w:rsidP="00A53DB0">
      <w:pPr>
        <w:pBdr>
          <w:top w:val="nil"/>
          <w:left w:val="nil"/>
          <w:bottom w:val="nil"/>
          <w:right w:val="nil"/>
          <w:between w:val="nil"/>
          <w:bar w:val="nil"/>
        </w:pBdr>
        <w:spacing w:before="0" w:after="240"/>
        <w:rPr>
          <w:noProof/>
        </w:rPr>
      </w:pPr>
      <w:r w:rsidRPr="00F12C48">
        <w:rPr>
          <w:noProof/>
        </w:rPr>
        <w:t>Po druhé, Komisia má</w:t>
      </w:r>
      <w:r w:rsidR="00F12C48">
        <w:rPr>
          <w:noProof/>
        </w:rPr>
        <w:t xml:space="preserve"> v </w:t>
      </w:r>
      <w:r w:rsidRPr="00F12C48">
        <w:rPr>
          <w:noProof/>
        </w:rPr>
        <w:t>úmysle bezodkladne prijať delegovaný akt, ktorým sa uskutoční revízia prvého súboru štandardov ESRS.</w:t>
      </w:r>
      <w:r w:rsidR="00F12C48">
        <w:rPr>
          <w:noProof/>
        </w:rPr>
        <w:t xml:space="preserve"> V </w:t>
      </w:r>
      <w:r w:rsidRPr="00F12C48">
        <w:rPr>
          <w:noProof/>
        </w:rPr>
        <w:t>snahe urýchlene dosiahnuť zjednodušenie</w:t>
      </w:r>
      <w:r w:rsidR="00F12C48">
        <w:rPr>
          <w:noProof/>
        </w:rPr>
        <w:t xml:space="preserve"> a </w:t>
      </w:r>
      <w:r w:rsidRPr="00F12C48">
        <w:rPr>
          <w:noProof/>
        </w:rPr>
        <w:t>zefektívnenie štandardov ESRS</w:t>
      </w:r>
      <w:r w:rsidR="00F12C48">
        <w:rPr>
          <w:noProof/>
        </w:rPr>
        <w:t xml:space="preserve"> a </w:t>
      </w:r>
      <w:r w:rsidRPr="00F12C48">
        <w:rPr>
          <w:noProof/>
        </w:rPr>
        <w:t>poskytnúť podnikom jasnosť</w:t>
      </w:r>
      <w:r w:rsidR="00F12C48">
        <w:rPr>
          <w:noProof/>
        </w:rPr>
        <w:t xml:space="preserve"> a </w:t>
      </w:r>
      <w:r w:rsidRPr="00F12C48">
        <w:rPr>
          <w:noProof/>
        </w:rPr>
        <w:t>právnu istotu má Komisia</w:t>
      </w:r>
      <w:r w:rsidR="00F12C48">
        <w:rPr>
          <w:noProof/>
        </w:rPr>
        <w:t xml:space="preserve"> v </w:t>
      </w:r>
      <w:r w:rsidRPr="00F12C48">
        <w:rPr>
          <w:noProof/>
        </w:rPr>
        <w:t>úmysle prijať potrebný delegovaný akt čo najskôr, najneskôr však šesť mesiacov po nadobudnutí účinnosti smernice, ktorá má zjednodušiť rámec pre vykazovanie informácií</w:t>
      </w:r>
      <w:r w:rsidR="00F12C48">
        <w:rPr>
          <w:noProof/>
        </w:rPr>
        <w:t xml:space="preserve"> a </w:t>
      </w:r>
      <w:r w:rsidRPr="00F12C48">
        <w:rPr>
          <w:noProof/>
        </w:rPr>
        <w:t>je predmetom vyššie uvedeného samostatného legislatívneho návrhu. Revíziou delegovaného aktu sa podstatne zníži počet povinných údajových bodov podľa štandardov ESRS tak, že sa i) odstránia tie, ktoré sa považujú za najmenej dôležité na vykazovanie informácií</w:t>
      </w:r>
      <w:r w:rsidR="00F12C48">
        <w:rPr>
          <w:noProof/>
        </w:rPr>
        <w:t xml:space="preserve"> o </w:t>
      </w:r>
      <w:r w:rsidRPr="00F12C48">
        <w:rPr>
          <w:noProof/>
        </w:rPr>
        <w:t>udržateľnosti na všeobecné účely, ii) uprednostnia kvantitatívne údajové body pred opisným textom</w:t>
      </w:r>
      <w:r w:rsidR="00F12C48">
        <w:rPr>
          <w:noProof/>
        </w:rPr>
        <w:t xml:space="preserve"> a </w:t>
      </w:r>
      <w:r w:rsidRPr="00F12C48">
        <w:rPr>
          <w:noProof/>
        </w:rPr>
        <w:t>iii) začne ešte viac rozlišovať medzi povinnými</w:t>
      </w:r>
      <w:r w:rsidR="00F12C48">
        <w:rPr>
          <w:noProof/>
        </w:rPr>
        <w:t xml:space="preserve"> a </w:t>
      </w:r>
      <w:r w:rsidRPr="00F12C48">
        <w:rPr>
          <w:noProof/>
        </w:rPr>
        <w:t>dobrovoľnými údajovými bodmi bez toho, aby sa narušila interoperabilita</w:t>
      </w:r>
      <w:r w:rsidR="00F12C48">
        <w:rPr>
          <w:noProof/>
        </w:rPr>
        <w:t xml:space="preserve"> s </w:t>
      </w:r>
      <w:r w:rsidRPr="00F12C48">
        <w:rPr>
          <w:noProof/>
        </w:rPr>
        <w:t>globálnymi štandardmi vykazovania,</w:t>
      </w:r>
      <w:r w:rsidR="00F12C48">
        <w:rPr>
          <w:noProof/>
        </w:rPr>
        <w:t xml:space="preserve"> a </w:t>
      </w:r>
      <w:r w:rsidRPr="00F12C48">
        <w:rPr>
          <w:noProof/>
        </w:rPr>
        <w:t>bez toho, aby bolo dotknuté posúdenie významnosti každého podniku. Revíziou sa objasnia ustanovenia, ktoré sa považujú za nejasné. Zlepší sa tým súlad</w:t>
      </w:r>
      <w:r w:rsidR="00F12C48">
        <w:rPr>
          <w:noProof/>
        </w:rPr>
        <w:t xml:space="preserve"> s </w:t>
      </w:r>
      <w:r w:rsidRPr="00F12C48">
        <w:rPr>
          <w:noProof/>
        </w:rPr>
        <w:t>ostatnými právnymi predpismi EÚ. Poskytnú sa jasnejšie pokyny, ako uplatňovať zásadu významnosti</w:t>
      </w:r>
      <w:r w:rsidR="00F12C48">
        <w:rPr>
          <w:noProof/>
        </w:rPr>
        <w:t xml:space="preserve"> v </w:t>
      </w:r>
      <w:r w:rsidRPr="00F12C48">
        <w:rPr>
          <w:noProof/>
        </w:rPr>
        <w:t>snahe zabezpečiť, aby podniky vykazovali len významné informácie,</w:t>
      </w:r>
      <w:r w:rsidR="00F12C48">
        <w:rPr>
          <w:noProof/>
        </w:rPr>
        <w:t xml:space="preserve"> a v </w:t>
      </w:r>
      <w:r w:rsidRPr="00F12C48">
        <w:rPr>
          <w:noProof/>
        </w:rPr>
        <w:t>snahe znížiť riziko, že budú poskytovatelia uisťovacích služieb neúmyselne nabádať podniky, aby vykazovali informácie, ktoré nie sú nevyhnutné, alebo aby na proces posudzovania významnosti vyčlenili nadmerné zdroje. Zjednoduší sa tým štruktúra</w:t>
      </w:r>
      <w:r w:rsidR="00F12C48">
        <w:rPr>
          <w:noProof/>
        </w:rPr>
        <w:t xml:space="preserve"> a </w:t>
      </w:r>
      <w:r w:rsidRPr="00F12C48">
        <w:rPr>
          <w:noProof/>
        </w:rPr>
        <w:t>prezentácia štandardov. Ďalej sa posilní už teraz veľmi vysoký stupeň interoperability</w:t>
      </w:r>
      <w:r w:rsidR="00F12C48">
        <w:rPr>
          <w:noProof/>
        </w:rPr>
        <w:t xml:space="preserve"> s </w:t>
      </w:r>
      <w:r w:rsidRPr="00F12C48">
        <w:rPr>
          <w:noProof/>
        </w:rPr>
        <w:t>globálnymi štandardmi vykazovania informácií</w:t>
      </w:r>
      <w:r w:rsidR="00F12C48">
        <w:rPr>
          <w:noProof/>
        </w:rPr>
        <w:t xml:space="preserve"> o </w:t>
      </w:r>
      <w:r w:rsidRPr="00F12C48">
        <w:rPr>
          <w:noProof/>
        </w:rPr>
        <w:t>udržateľnosti. Vykonajú sa aj prípadné ďalšie úpravy, ktoré sa vzhľadom na skúsenosti</w:t>
      </w:r>
      <w:r w:rsidR="00F12C48">
        <w:rPr>
          <w:noProof/>
        </w:rPr>
        <w:t xml:space="preserve"> s </w:t>
      </w:r>
      <w:r w:rsidRPr="00F12C48">
        <w:rPr>
          <w:noProof/>
        </w:rPr>
        <w:t>prvým kolom uplatňovania štandardov ESRS môžu považovať za potrebné</w:t>
      </w:r>
      <w:r w:rsidR="00F12C48">
        <w:rPr>
          <w:noProof/>
        </w:rPr>
        <w:t>.</w:t>
      </w:r>
    </w:p>
    <w:p w14:paraId="14EF0C81" w14:textId="332A9E91" w:rsidR="00A53DB0" w:rsidRPr="00F12C48" w:rsidRDefault="00A53DB0" w:rsidP="00A53DB0">
      <w:pPr>
        <w:pBdr>
          <w:top w:val="nil"/>
          <w:left w:val="nil"/>
          <w:bottom w:val="nil"/>
          <w:right w:val="nil"/>
          <w:between w:val="nil"/>
          <w:bar w:val="nil"/>
        </w:pBdr>
        <w:spacing w:before="0" w:after="240"/>
        <w:rPr>
          <w:noProof/>
        </w:rPr>
      </w:pPr>
      <w:r w:rsidRPr="00F12C48">
        <w:rPr>
          <w:noProof/>
        </w:rPr>
        <w:t>Po tretie, týmto návrhom by sa</w:t>
      </w:r>
      <w:r w:rsidR="00F12C48">
        <w:rPr>
          <w:noProof/>
        </w:rPr>
        <w:t xml:space="preserve"> o </w:t>
      </w:r>
      <w:r w:rsidRPr="00F12C48">
        <w:rPr>
          <w:noProof/>
        </w:rPr>
        <w:t>dva roky odložil začiatok uplatňovania požiadaviek na vykazovanie</w:t>
      </w:r>
      <w:r w:rsidR="00F12C48">
        <w:rPr>
          <w:noProof/>
        </w:rPr>
        <w:t xml:space="preserve"> v </w:t>
      </w:r>
      <w:r w:rsidRPr="00F12C48">
        <w:rPr>
          <w:noProof/>
        </w:rPr>
        <w:t>rámci druhej vlny (veľké podniky, ktoré nie sú subjektmi verejného záujmu</w:t>
      </w:r>
      <w:r w:rsidR="00F12C48">
        <w:rPr>
          <w:noProof/>
        </w:rPr>
        <w:t xml:space="preserve"> a </w:t>
      </w:r>
      <w:r w:rsidRPr="00F12C48">
        <w:rPr>
          <w:noProof/>
        </w:rPr>
        <w:t>ktoré majú viac než 500 zamestnancov, ako aj veľké podniky</w:t>
      </w:r>
      <w:r w:rsidR="00F12C48">
        <w:rPr>
          <w:noProof/>
        </w:rPr>
        <w:t xml:space="preserve"> s </w:t>
      </w:r>
      <w:r w:rsidRPr="00F12C48">
        <w:rPr>
          <w:noProof/>
        </w:rPr>
        <w:t xml:space="preserve">menej než 500 </w:t>
      </w:r>
      <w:r w:rsidRPr="00F12C48">
        <w:rPr>
          <w:noProof/>
        </w:rPr>
        <w:lastRenderedPageBreak/>
        <w:t>zamestnancami</w:t>
      </w:r>
      <w:r w:rsidRPr="00F12C48">
        <w:rPr>
          <w:rStyle w:val="Odkaznapoznmkupodiarou"/>
          <w:rFonts w:eastAsia="Arial Unicode MS"/>
          <w:noProof/>
          <w:lang w:eastAsia="en-GB"/>
        </w:rPr>
        <w:footnoteReference w:id="17"/>
      </w:r>
      <w:r w:rsidRPr="00F12C48">
        <w:rPr>
          <w:noProof/>
        </w:rPr>
        <w:t>)</w:t>
      </w:r>
      <w:r w:rsidR="00F12C48">
        <w:rPr>
          <w:noProof/>
        </w:rPr>
        <w:t xml:space="preserve"> a </w:t>
      </w:r>
      <w:r w:rsidRPr="00F12C48">
        <w:rPr>
          <w:noProof/>
        </w:rPr>
        <w:t>tretej vlny (kótované MSP, malé</w:t>
      </w:r>
      <w:r w:rsidR="00F12C48">
        <w:rPr>
          <w:noProof/>
        </w:rPr>
        <w:t xml:space="preserve"> a </w:t>
      </w:r>
      <w:r w:rsidRPr="00F12C48">
        <w:rPr>
          <w:noProof/>
        </w:rPr>
        <w:t>menej zložité úverové inštitúcie</w:t>
      </w:r>
      <w:r w:rsidR="00F12C48">
        <w:rPr>
          <w:noProof/>
        </w:rPr>
        <w:t xml:space="preserve"> a </w:t>
      </w:r>
      <w:r w:rsidRPr="00F12C48">
        <w:rPr>
          <w:noProof/>
        </w:rPr>
        <w:t>kaptívne poisťovne</w:t>
      </w:r>
      <w:r w:rsidR="00F12C48">
        <w:rPr>
          <w:noProof/>
        </w:rPr>
        <w:t xml:space="preserve"> a </w:t>
      </w:r>
      <w:r w:rsidRPr="00F12C48">
        <w:rPr>
          <w:noProof/>
        </w:rPr>
        <w:t>zaisťovne). Cieľom odkladu je zabrániť situácii, keď sa od určitých podnikov vyžaduje, aby vykazovali informácie za účtovný rok 2025 (druhá vlna) alebo 2026 (tretia vlna),</w:t>
      </w:r>
      <w:r w:rsidR="00F12C48">
        <w:rPr>
          <w:noProof/>
        </w:rPr>
        <w:t xml:space="preserve"> a </w:t>
      </w:r>
      <w:r w:rsidRPr="00F12C48">
        <w:rPr>
          <w:noProof/>
        </w:rPr>
        <w:t>následne sú od tejto požiadavky oslobodené. Takáto situácia by znamenala, že dotknutým podnikom vznikajú zbytočné výdavky, ktorým bolo možné predísť.</w:t>
      </w:r>
    </w:p>
    <w:p w14:paraId="048719AA" w14:textId="64B7AA47" w:rsidR="00F12C48" w:rsidRDefault="00A53DB0" w:rsidP="00A53DB0">
      <w:pPr>
        <w:pBdr>
          <w:top w:val="nil"/>
          <w:left w:val="nil"/>
          <w:bottom w:val="nil"/>
          <w:right w:val="nil"/>
          <w:between w:val="nil"/>
          <w:bar w:val="nil"/>
        </w:pBdr>
        <w:spacing w:before="0" w:after="240"/>
        <w:rPr>
          <w:noProof/>
        </w:rPr>
      </w:pPr>
      <w:r w:rsidRPr="00F12C48">
        <w:rPr>
          <w:noProof/>
        </w:rPr>
        <w:t>Komisia vyzýva spoluzákonodarcov, aby urýchlene dosiahli dohodu</w:t>
      </w:r>
      <w:r w:rsidR="00F12C48">
        <w:rPr>
          <w:noProof/>
        </w:rPr>
        <w:t xml:space="preserve"> o </w:t>
      </w:r>
      <w:r w:rsidRPr="00F12C48">
        <w:rPr>
          <w:noProof/>
        </w:rPr>
        <w:t>navrhovanom odklade, najmä</w:t>
      </w:r>
      <w:r w:rsidR="00F12C48">
        <w:rPr>
          <w:noProof/>
        </w:rPr>
        <w:t xml:space="preserve"> s </w:t>
      </w:r>
      <w:r w:rsidRPr="00F12C48">
        <w:rPr>
          <w:noProof/>
        </w:rPr>
        <w:t>cieľom zabezpečiť potrebnú právnu zrozumiteľnosť pre podniky</w:t>
      </w:r>
      <w:r w:rsidR="00F12C48">
        <w:rPr>
          <w:noProof/>
        </w:rPr>
        <w:t xml:space="preserve"> v </w:t>
      </w:r>
      <w:r w:rsidRPr="00F12C48">
        <w:rPr>
          <w:noProof/>
        </w:rPr>
        <w:t>druhej vlne, od ktorých sa</w:t>
      </w:r>
      <w:r w:rsidR="00F12C48">
        <w:rPr>
          <w:noProof/>
        </w:rPr>
        <w:t xml:space="preserve"> v </w:t>
      </w:r>
      <w:r w:rsidRPr="00F12C48">
        <w:rPr>
          <w:noProof/>
        </w:rPr>
        <w:t>súčasnosti vyžaduje, aby prvýkrát vykázali informácie</w:t>
      </w:r>
      <w:r w:rsidR="00F12C48">
        <w:rPr>
          <w:noProof/>
        </w:rPr>
        <w:t xml:space="preserve"> v </w:t>
      </w:r>
      <w:r w:rsidRPr="00F12C48">
        <w:rPr>
          <w:noProof/>
        </w:rPr>
        <w:t>roku 2026 za účtovný rok 2025</w:t>
      </w:r>
      <w:r w:rsidR="00F12C48">
        <w:rPr>
          <w:noProof/>
        </w:rPr>
        <w:t>.</w:t>
      </w:r>
    </w:p>
    <w:p w14:paraId="1A646225" w14:textId="1B6BA6A8" w:rsidR="00A53DB0" w:rsidRPr="00F12C48" w:rsidRDefault="00A53DB0" w:rsidP="00A53DB0">
      <w:pPr>
        <w:pBdr>
          <w:top w:val="nil"/>
          <w:left w:val="nil"/>
          <w:bottom w:val="nil"/>
          <w:right w:val="nil"/>
          <w:between w:val="nil"/>
          <w:bar w:val="nil"/>
        </w:pBdr>
        <w:spacing w:before="0" w:after="240"/>
        <w:rPr>
          <w:noProof/>
          <w:u w:val="single"/>
        </w:rPr>
      </w:pPr>
      <w:r w:rsidRPr="00F12C48">
        <w:rPr>
          <w:noProof/>
          <w:u w:val="single"/>
        </w:rPr>
        <w:t>Osobitný kontext</w:t>
      </w:r>
      <w:r w:rsidR="00F12C48">
        <w:rPr>
          <w:noProof/>
          <w:u w:val="single"/>
        </w:rPr>
        <w:t xml:space="preserve"> a </w:t>
      </w:r>
      <w:r w:rsidRPr="00F12C48">
        <w:rPr>
          <w:noProof/>
          <w:u w:val="single"/>
        </w:rPr>
        <w:t>ciele tohto návrhu týkajúce sa smernice CSDDD</w:t>
      </w:r>
    </w:p>
    <w:p w14:paraId="15F5E04A" w14:textId="611A06D5" w:rsidR="00F12C48" w:rsidRDefault="00A427AE" w:rsidP="00977655">
      <w:pPr>
        <w:pBdr>
          <w:top w:val="nil"/>
          <w:left w:val="nil"/>
          <w:bottom w:val="nil"/>
          <w:right w:val="nil"/>
          <w:between w:val="nil"/>
          <w:bar w:val="nil"/>
        </w:pBdr>
        <w:spacing w:before="0" w:after="240"/>
        <w:rPr>
          <w:noProof/>
        </w:rPr>
      </w:pPr>
      <w:r w:rsidRPr="00F12C48">
        <w:rPr>
          <w:noProof/>
        </w:rPr>
        <w:t>Podľa súčasných pravidiel by členské štáty mali smernicu CSDDD transponovať do 26</w:t>
      </w:r>
      <w:r w:rsidR="00F12C48">
        <w:rPr>
          <w:noProof/>
        </w:rPr>
        <w:t>. júla</w:t>
      </w:r>
      <w:r w:rsidRPr="00F12C48">
        <w:rPr>
          <w:noProof/>
        </w:rPr>
        <w:t xml:space="preserve"> 2026. Začiatok jej uplatňovania sa predpokladá</w:t>
      </w:r>
      <w:r w:rsidR="00F12C48">
        <w:rPr>
          <w:noProof/>
        </w:rPr>
        <w:t xml:space="preserve"> v </w:t>
      </w:r>
      <w:r w:rsidRPr="00F12C48">
        <w:rPr>
          <w:noProof/>
        </w:rPr>
        <w:t>troch fázach: od júla 2027 by sa pravidlá začali uplatňovať len na najväčšie spoločnosti</w:t>
      </w:r>
      <w:r w:rsidR="00F12C48">
        <w:rPr>
          <w:noProof/>
        </w:rPr>
        <w:t xml:space="preserve"> v </w:t>
      </w:r>
      <w:r w:rsidRPr="00F12C48">
        <w:rPr>
          <w:noProof/>
        </w:rPr>
        <w:t>EÚ, t. j. na tie, ktoré majú viac než 5 000 zamestnancov</w:t>
      </w:r>
      <w:r w:rsidR="00F12C48">
        <w:rPr>
          <w:noProof/>
        </w:rPr>
        <w:t xml:space="preserve"> a </w:t>
      </w:r>
      <w:r w:rsidRPr="00F12C48">
        <w:rPr>
          <w:noProof/>
        </w:rPr>
        <w:t>vykazujú čistý ročný (celosvetový) obrat vo výške viac než 1,5 miliardy EUR, ako aj na spoločnosti</w:t>
      </w:r>
      <w:r w:rsidR="00F12C48">
        <w:rPr>
          <w:noProof/>
        </w:rPr>
        <w:t xml:space="preserve"> z </w:t>
      </w:r>
      <w:r w:rsidRPr="00F12C48">
        <w:rPr>
          <w:noProof/>
        </w:rPr>
        <w:t>krajín mimo EÚ, ktoré</w:t>
      </w:r>
      <w:r w:rsidR="00F12C48">
        <w:rPr>
          <w:noProof/>
        </w:rPr>
        <w:t xml:space="preserve"> v </w:t>
      </w:r>
      <w:r w:rsidRPr="00F12C48">
        <w:rPr>
          <w:noProof/>
        </w:rPr>
        <w:t>EÚ dosahujú čistý obrat vo výške viac než 1,5 miliardy EUR.</w:t>
      </w:r>
      <w:r w:rsidR="00F12C48">
        <w:rPr>
          <w:noProof/>
        </w:rPr>
        <w:t xml:space="preserve"> V </w:t>
      </w:r>
      <w:r w:rsidRPr="00F12C48">
        <w:rPr>
          <w:noProof/>
        </w:rPr>
        <w:t>druhej vlne by nový rámec museli od júla 2028 dodržiavať spoločnosti</w:t>
      </w:r>
      <w:r w:rsidR="00F12C48">
        <w:rPr>
          <w:noProof/>
        </w:rPr>
        <w:t xml:space="preserve"> v </w:t>
      </w:r>
      <w:r w:rsidRPr="00F12C48">
        <w:rPr>
          <w:noProof/>
        </w:rPr>
        <w:t>EÚ</w:t>
      </w:r>
      <w:r w:rsidR="00F12C48">
        <w:rPr>
          <w:noProof/>
        </w:rPr>
        <w:t xml:space="preserve"> s </w:t>
      </w:r>
      <w:r w:rsidRPr="00F12C48">
        <w:rPr>
          <w:noProof/>
        </w:rPr>
        <w:t>viac než 3 000 zamestnancami</w:t>
      </w:r>
      <w:r w:rsidR="00F12C48">
        <w:rPr>
          <w:noProof/>
        </w:rPr>
        <w:t xml:space="preserve"> a </w:t>
      </w:r>
      <w:r w:rsidRPr="00F12C48">
        <w:rPr>
          <w:noProof/>
        </w:rPr>
        <w:t>čistým obratom viac než 900 miliónov EUR, ako aj spoločnosti</w:t>
      </w:r>
      <w:r w:rsidR="00F12C48">
        <w:rPr>
          <w:noProof/>
        </w:rPr>
        <w:t xml:space="preserve"> z </w:t>
      </w:r>
      <w:r w:rsidRPr="00F12C48">
        <w:rPr>
          <w:noProof/>
        </w:rPr>
        <w:t>krajín mimo EÚ dosahujúce takýto čistý obrat</w:t>
      </w:r>
      <w:r w:rsidR="00F12C48">
        <w:rPr>
          <w:noProof/>
        </w:rPr>
        <w:t xml:space="preserve"> v </w:t>
      </w:r>
      <w:r w:rsidRPr="00F12C48">
        <w:rPr>
          <w:noProof/>
        </w:rPr>
        <w:t>EÚ.</w:t>
      </w:r>
      <w:r w:rsidR="00F12C48">
        <w:rPr>
          <w:noProof/>
        </w:rPr>
        <w:t xml:space="preserve"> V </w:t>
      </w:r>
      <w:r w:rsidRPr="00F12C48">
        <w:rPr>
          <w:noProof/>
        </w:rPr>
        <w:t>poslednej vlne by boli všetky ostatné spoločnosti patriace do všeobecného rozsahu pôsobnosti, ktoré by museli začať uplatňovať (vnútroštátne pravidlá, ktorými sa transponuje smernica) smernicu</w:t>
      </w:r>
      <w:r w:rsidR="00F12C48">
        <w:rPr>
          <w:noProof/>
        </w:rPr>
        <w:t xml:space="preserve"> v </w:t>
      </w:r>
      <w:r w:rsidRPr="00F12C48">
        <w:rPr>
          <w:noProof/>
        </w:rPr>
        <w:t>júli 2029. Odhaduje sa, že od tohto dátumu sa smernica CSDDD bude vzťahovať približne na 6 000 veľkých spoločností</w:t>
      </w:r>
      <w:r w:rsidR="00F12C48">
        <w:rPr>
          <w:noProof/>
        </w:rPr>
        <w:t xml:space="preserve"> v </w:t>
      </w:r>
      <w:r w:rsidRPr="00F12C48">
        <w:rPr>
          <w:noProof/>
        </w:rPr>
        <w:t>EÚ</w:t>
      </w:r>
      <w:r w:rsidR="00F12C48">
        <w:rPr>
          <w:noProof/>
        </w:rPr>
        <w:t xml:space="preserve"> a </w:t>
      </w:r>
      <w:r w:rsidRPr="00F12C48">
        <w:rPr>
          <w:noProof/>
        </w:rPr>
        <w:t>približne 900 spoločností</w:t>
      </w:r>
      <w:r w:rsidR="00F12C48">
        <w:rPr>
          <w:noProof/>
        </w:rPr>
        <w:t xml:space="preserve"> z </w:t>
      </w:r>
      <w:r w:rsidRPr="00F12C48">
        <w:rPr>
          <w:noProof/>
        </w:rPr>
        <w:t>krajín mimo EÚ.</w:t>
      </w:r>
      <w:r w:rsidR="00F12C48">
        <w:rPr>
          <w:noProof/>
        </w:rPr>
        <w:t xml:space="preserve"> V </w:t>
      </w:r>
      <w:r w:rsidRPr="00F12C48">
        <w:rPr>
          <w:noProof/>
        </w:rPr>
        <w:t>osobnej pôsobnosti</w:t>
      </w:r>
      <w:r w:rsidR="00F12C48">
        <w:rPr>
          <w:noProof/>
        </w:rPr>
        <w:t xml:space="preserve"> a </w:t>
      </w:r>
      <w:r w:rsidRPr="00F12C48">
        <w:rPr>
          <w:noProof/>
        </w:rPr>
        <w:t>postupnom zavádzaní uplatňovania sa zohľadňuje skutočnosť, že spoločnosti rôznej veľkosti majú rôzne kapacity na implementáciu nového povinného rámca,</w:t>
      </w:r>
      <w:r w:rsidR="00F12C48">
        <w:rPr>
          <w:noProof/>
        </w:rPr>
        <w:t xml:space="preserve"> a </w:t>
      </w:r>
      <w:r w:rsidRPr="00F12C48">
        <w:rPr>
          <w:noProof/>
        </w:rPr>
        <w:t>ako také sú kľúčovým prvkom pri zabezpečovaní proporcionálneho prístupu</w:t>
      </w:r>
      <w:r w:rsidR="00F12C48">
        <w:rPr>
          <w:noProof/>
        </w:rPr>
        <w:t>.</w:t>
      </w:r>
    </w:p>
    <w:p w14:paraId="1C0C8011" w14:textId="1E966D9C" w:rsidR="00E12051" w:rsidRPr="00F12C48" w:rsidRDefault="00E631F3" w:rsidP="00A53DB0">
      <w:pPr>
        <w:pBdr>
          <w:top w:val="nil"/>
          <w:left w:val="nil"/>
          <w:bottom w:val="nil"/>
          <w:right w:val="nil"/>
          <w:between w:val="nil"/>
          <w:bar w:val="nil"/>
        </w:pBdr>
        <w:spacing w:before="0" w:after="240"/>
        <w:rPr>
          <w:noProof/>
        </w:rPr>
      </w:pPr>
      <w:r w:rsidRPr="00F12C48">
        <w:rPr>
          <w:noProof/>
        </w:rPr>
        <w:t>Samostatný legislatívny návrh, ktorý Komisia predložila súbežne</w:t>
      </w:r>
      <w:r w:rsidR="00F12C48">
        <w:rPr>
          <w:noProof/>
        </w:rPr>
        <w:t xml:space="preserve"> s </w:t>
      </w:r>
      <w:r w:rsidRPr="00F12C48">
        <w:rPr>
          <w:noProof/>
        </w:rPr>
        <w:t>týmto návrhom, by okrem toho viacerými spôsobmi zjednodušil rámec</w:t>
      </w:r>
      <w:r w:rsidR="00F12C48">
        <w:rPr>
          <w:noProof/>
        </w:rPr>
        <w:t xml:space="preserve"> a </w:t>
      </w:r>
      <w:r w:rsidRPr="00F12C48">
        <w:rPr>
          <w:noProof/>
        </w:rPr>
        <w:t>znížil zaťaženie spoločností. Týmto návrhom by sa odložila prvá fáza začatia uplatňovania smernice</w:t>
      </w:r>
      <w:r w:rsidR="00F12C48">
        <w:rPr>
          <w:noProof/>
        </w:rPr>
        <w:t xml:space="preserve"> o </w:t>
      </w:r>
      <w:r w:rsidRPr="00F12C48">
        <w:rPr>
          <w:noProof/>
        </w:rPr>
        <w:t>jeden rok. Cieľom tohto odkladu je poskytnúť prvej skupine spoločností dodatočný čas na to, aby sa pripravili na svoje povinnosti podľa smernice</w:t>
      </w:r>
      <w:r w:rsidR="00F12C48">
        <w:rPr>
          <w:noProof/>
        </w:rPr>
        <w:t xml:space="preserve"> v </w:t>
      </w:r>
      <w:r w:rsidRPr="00F12C48">
        <w:rPr>
          <w:noProof/>
        </w:rPr>
        <w:t>znení zmien,</w:t>
      </w:r>
      <w:r w:rsidR="00F12C48">
        <w:rPr>
          <w:noProof/>
        </w:rPr>
        <w:t xml:space="preserve"> a </w:t>
      </w:r>
      <w:r w:rsidRPr="00F12C48">
        <w:rPr>
          <w:noProof/>
        </w:rPr>
        <w:t>to aj</w:t>
      </w:r>
      <w:r w:rsidR="00F12C48">
        <w:rPr>
          <w:noProof/>
        </w:rPr>
        <w:t xml:space="preserve"> s </w:t>
      </w:r>
      <w:r w:rsidRPr="00F12C48">
        <w:rPr>
          <w:noProof/>
        </w:rPr>
        <w:t>prihliadnutím na usmernenia, ktoré Komisia prijme</w:t>
      </w:r>
      <w:r w:rsidR="00F12C48">
        <w:rPr>
          <w:noProof/>
        </w:rPr>
        <w:t xml:space="preserve"> v </w:t>
      </w:r>
      <w:r w:rsidRPr="00F12C48">
        <w:rPr>
          <w:noProof/>
        </w:rPr>
        <w:t>súlade</w:t>
      </w:r>
      <w:r w:rsidR="00F12C48">
        <w:rPr>
          <w:noProof/>
        </w:rPr>
        <w:t xml:space="preserve"> s </w:t>
      </w:r>
      <w:r w:rsidRPr="00F12C48">
        <w:rPr>
          <w:noProof/>
        </w:rPr>
        <w:t>prísnejším harmonogramom stanoveným</w:t>
      </w:r>
      <w:r w:rsidR="00F12C48">
        <w:rPr>
          <w:noProof/>
        </w:rPr>
        <w:t xml:space="preserve"> v </w:t>
      </w:r>
      <w:r w:rsidRPr="00F12C48">
        <w:rPr>
          <w:noProof/>
        </w:rPr>
        <w:t>súbežnom návrhu na zjednodušenie.</w:t>
      </w:r>
    </w:p>
    <w:p w14:paraId="2699D682" w14:textId="45ACA3A6" w:rsidR="00480F54" w:rsidRPr="00F12C48" w:rsidRDefault="00E12051" w:rsidP="0094068A">
      <w:pPr>
        <w:pBdr>
          <w:top w:val="nil"/>
          <w:left w:val="nil"/>
          <w:bottom w:val="nil"/>
          <w:right w:val="nil"/>
          <w:between w:val="nil"/>
          <w:bar w:val="nil"/>
        </w:pBdr>
        <w:spacing w:before="0" w:after="240"/>
        <w:rPr>
          <w:noProof/>
        </w:rPr>
      </w:pPr>
      <w:r w:rsidRPr="00F12C48">
        <w:rPr>
          <w:noProof/>
        </w:rPr>
        <w:t>Okrem toho by sa týmto návrhom odložila lehota na transpozíciu pre členské štáty</w:t>
      </w:r>
      <w:r w:rsidR="00F12C48">
        <w:rPr>
          <w:noProof/>
        </w:rPr>
        <w:t xml:space="preserve"> o </w:t>
      </w:r>
      <w:r w:rsidRPr="00F12C48">
        <w:rPr>
          <w:noProof/>
        </w:rPr>
        <w:t>jeden rok, aby sa zohľadnili možné oneskorenia</w:t>
      </w:r>
      <w:r w:rsidR="00F12C48">
        <w:rPr>
          <w:noProof/>
        </w:rPr>
        <w:t xml:space="preserve"> v </w:t>
      </w:r>
      <w:r w:rsidRPr="00F12C48">
        <w:rPr>
          <w:noProof/>
        </w:rPr>
        <w:t>ich prebiehajúcom úsilí</w:t>
      </w:r>
      <w:r w:rsidR="00F12C48">
        <w:rPr>
          <w:noProof/>
        </w:rPr>
        <w:t xml:space="preserve"> o </w:t>
      </w:r>
      <w:r w:rsidRPr="00F12C48">
        <w:rPr>
          <w:noProof/>
        </w:rPr>
        <w:t>transpozíciu smernice CSDDD</w:t>
      </w:r>
      <w:r w:rsidR="00F12C48">
        <w:rPr>
          <w:noProof/>
        </w:rPr>
        <w:t xml:space="preserve"> v </w:t>
      </w:r>
      <w:r w:rsidRPr="00F12C48">
        <w:rPr>
          <w:noProof/>
        </w:rPr>
        <w:t>dôsledku možných zmien smernice na základe súbežného návrhu na zjednodušenie.</w:t>
      </w:r>
    </w:p>
    <w:p w14:paraId="76C6F3E4" w14:textId="546BCAF6" w:rsidR="006C7F87" w:rsidRPr="00F12C48" w:rsidRDefault="006C7F87" w:rsidP="0094068A">
      <w:pPr>
        <w:pStyle w:val="ManualHeading2"/>
        <w:rPr>
          <w:rFonts w:eastAsia="Arial Unicode MS"/>
          <w:noProof/>
          <w:color w:val="000000"/>
          <w:u w:color="000000"/>
          <w:bdr w:val="nil"/>
        </w:rPr>
      </w:pPr>
      <w:r w:rsidRPr="00F12C48">
        <w:rPr>
          <w:noProof/>
          <w:color w:val="000000"/>
          <w:u w:color="000000"/>
          <w:bdr w:val="nil"/>
        </w:rPr>
        <w:t>•</w:t>
      </w:r>
      <w:r w:rsidRPr="00F12C48">
        <w:rPr>
          <w:noProof/>
        </w:rPr>
        <w:tab/>
        <w:t>Súlad</w:t>
      </w:r>
      <w:r w:rsidR="00F12C48">
        <w:rPr>
          <w:noProof/>
        </w:rPr>
        <w:t xml:space="preserve"> s </w:t>
      </w:r>
      <w:r w:rsidRPr="00F12C48">
        <w:rPr>
          <w:noProof/>
        </w:rPr>
        <w:t>existujúcimi ustanoveniami</w:t>
      </w:r>
      <w:r w:rsidR="00F12C48">
        <w:rPr>
          <w:noProof/>
        </w:rPr>
        <w:t xml:space="preserve"> v </w:t>
      </w:r>
      <w:r w:rsidRPr="00F12C48">
        <w:rPr>
          <w:noProof/>
        </w:rPr>
        <w:t>tejto oblasti politiky</w:t>
      </w:r>
    </w:p>
    <w:p w14:paraId="49877AA6" w14:textId="3BBC8E4F" w:rsidR="00F763CA" w:rsidRPr="00F12C48" w:rsidRDefault="00F763CA" w:rsidP="00F763CA">
      <w:pPr>
        <w:pBdr>
          <w:top w:val="nil"/>
          <w:left w:val="nil"/>
          <w:bottom w:val="nil"/>
          <w:right w:val="nil"/>
          <w:between w:val="nil"/>
          <w:bar w:val="nil"/>
        </w:pBdr>
        <w:spacing w:before="0" w:after="240"/>
        <w:rPr>
          <w:rFonts w:eastAsia="Arial Unicode MS"/>
          <w:noProof/>
        </w:rPr>
      </w:pPr>
      <w:r w:rsidRPr="00F12C48">
        <w:rPr>
          <w:noProof/>
        </w:rPr>
        <w:t>Podniky, na ktoré sa vzťahujú požiadavky na vykazovanie informácií podľa smernice CSRD, sú takisto automaticky povinné vykazovať určité ukazovatele podľa článku 8 nariadenia</w:t>
      </w:r>
      <w:r w:rsidR="00F12C48">
        <w:rPr>
          <w:noProof/>
        </w:rPr>
        <w:t xml:space="preserve"> o </w:t>
      </w:r>
      <w:r w:rsidRPr="00F12C48">
        <w:rPr>
          <w:noProof/>
        </w:rPr>
        <w:t>taxonómii. Odložením uplatňovania požiadaviek na vykazovanie informácií pre spoločnosti</w:t>
      </w:r>
      <w:r w:rsidR="00F12C48">
        <w:rPr>
          <w:noProof/>
        </w:rPr>
        <w:t xml:space="preserve"> </w:t>
      </w:r>
      <w:r w:rsidR="00F12C48">
        <w:rPr>
          <w:noProof/>
        </w:rPr>
        <w:lastRenderedPageBreak/>
        <w:t>v </w:t>
      </w:r>
      <w:r w:rsidRPr="00F12C48">
        <w:rPr>
          <w:noProof/>
        </w:rPr>
        <w:t>druhej</w:t>
      </w:r>
      <w:r w:rsidR="00F12C48">
        <w:rPr>
          <w:noProof/>
        </w:rPr>
        <w:t xml:space="preserve"> a </w:t>
      </w:r>
      <w:r w:rsidRPr="00F12C48">
        <w:rPr>
          <w:noProof/>
        </w:rPr>
        <w:t>tretej vlne by sa týmto návrhom preto automaticky odložil aj dátum, do ktorého musia takéto spoločnosti vykazovať tieto ukazovatele podľa nariadenia</w:t>
      </w:r>
      <w:r w:rsidR="00F12C48">
        <w:rPr>
          <w:noProof/>
        </w:rPr>
        <w:t xml:space="preserve"> o </w:t>
      </w:r>
      <w:r w:rsidRPr="00F12C48">
        <w:rPr>
          <w:noProof/>
        </w:rPr>
        <w:t>taxonómii.</w:t>
      </w:r>
    </w:p>
    <w:p w14:paraId="696C52CE" w14:textId="598575D2" w:rsidR="00F12C48" w:rsidRDefault="00F763CA" w:rsidP="00F763CA">
      <w:pPr>
        <w:pBdr>
          <w:top w:val="nil"/>
          <w:left w:val="nil"/>
          <w:bottom w:val="nil"/>
          <w:right w:val="nil"/>
          <w:between w:val="nil"/>
          <w:bar w:val="nil"/>
        </w:pBdr>
        <w:spacing w:before="0" w:after="240"/>
        <w:rPr>
          <w:noProof/>
        </w:rPr>
      </w:pPr>
      <w:r w:rsidRPr="00F12C48">
        <w:rPr>
          <w:noProof/>
        </w:rPr>
        <w:t>Cieľom požiadaviek na vykazovanie informácií stanovených</w:t>
      </w:r>
      <w:r w:rsidR="00F12C48">
        <w:rPr>
          <w:noProof/>
        </w:rPr>
        <w:t xml:space="preserve"> v </w:t>
      </w:r>
      <w:r w:rsidRPr="00F12C48">
        <w:rPr>
          <w:noProof/>
        </w:rPr>
        <w:t>smernici CSRD</w:t>
      </w:r>
      <w:r w:rsidR="00F12C48">
        <w:rPr>
          <w:noProof/>
        </w:rPr>
        <w:t xml:space="preserve"> a </w:t>
      </w:r>
      <w:r w:rsidRPr="00F12C48">
        <w:rPr>
          <w:noProof/>
        </w:rPr>
        <w:t>štandardoch ESRS je okrem iného zabezpečiť, aby účastníci finančného trhu, úverové inštitúcie</w:t>
      </w:r>
      <w:r w:rsidR="00F12C48">
        <w:rPr>
          <w:noProof/>
        </w:rPr>
        <w:t xml:space="preserve"> a </w:t>
      </w:r>
      <w:r w:rsidRPr="00F12C48">
        <w:rPr>
          <w:noProof/>
        </w:rPr>
        <w:t>správcovia referenčných hodnôt mali prístup</w:t>
      </w:r>
      <w:r w:rsidR="00F12C48">
        <w:rPr>
          <w:noProof/>
        </w:rPr>
        <w:t xml:space="preserve"> k </w:t>
      </w:r>
      <w:r w:rsidRPr="00F12C48">
        <w:rPr>
          <w:noProof/>
        </w:rPr>
        <w:t>informáciám</w:t>
      </w:r>
      <w:r w:rsidR="00F12C48">
        <w:rPr>
          <w:noProof/>
        </w:rPr>
        <w:t xml:space="preserve"> o </w:t>
      </w:r>
      <w:r w:rsidRPr="00F12C48">
        <w:rPr>
          <w:noProof/>
        </w:rPr>
        <w:t>udržateľnosti, ktoré potrebujú od podnikov na účely splnenia svojich vlastných povinností</w:t>
      </w:r>
      <w:r w:rsidR="00F12C48">
        <w:rPr>
          <w:noProof/>
        </w:rPr>
        <w:t xml:space="preserve"> v </w:t>
      </w:r>
      <w:r w:rsidRPr="00F12C48">
        <w:rPr>
          <w:noProof/>
        </w:rPr>
        <w:t>oblasti vykazovania podľa nariadenia</w:t>
      </w:r>
      <w:r w:rsidR="00F12C48">
        <w:rPr>
          <w:noProof/>
        </w:rPr>
        <w:t xml:space="preserve"> o </w:t>
      </w:r>
      <w:r w:rsidRPr="00F12C48">
        <w:rPr>
          <w:noProof/>
        </w:rPr>
        <w:t>zverejňovaní informácií</w:t>
      </w:r>
      <w:r w:rsidR="00F12C48">
        <w:rPr>
          <w:noProof/>
        </w:rPr>
        <w:t xml:space="preserve"> o </w:t>
      </w:r>
      <w:r w:rsidRPr="00F12C48">
        <w:rPr>
          <w:noProof/>
        </w:rPr>
        <w:t>udržateľnosti</w:t>
      </w:r>
      <w:r w:rsidR="00F12C48">
        <w:rPr>
          <w:noProof/>
        </w:rPr>
        <w:t xml:space="preserve"> v </w:t>
      </w:r>
      <w:r w:rsidRPr="00F12C48">
        <w:rPr>
          <w:noProof/>
        </w:rPr>
        <w:t>sektore financií, nariadenia</w:t>
      </w:r>
      <w:r w:rsidR="00F12C48">
        <w:rPr>
          <w:noProof/>
        </w:rPr>
        <w:t xml:space="preserve"> o </w:t>
      </w:r>
      <w:r w:rsidRPr="00F12C48">
        <w:rPr>
          <w:noProof/>
        </w:rPr>
        <w:t>kapitálových požiadavkách</w:t>
      </w:r>
      <w:r w:rsidR="00F12C48">
        <w:rPr>
          <w:noProof/>
        </w:rPr>
        <w:t xml:space="preserve"> a </w:t>
      </w:r>
      <w:r w:rsidRPr="00F12C48">
        <w:rPr>
          <w:noProof/>
        </w:rPr>
        <w:t>nariadenia</w:t>
      </w:r>
      <w:r w:rsidR="00F12C48">
        <w:rPr>
          <w:noProof/>
        </w:rPr>
        <w:t xml:space="preserve"> o </w:t>
      </w:r>
      <w:r w:rsidRPr="00F12C48">
        <w:rPr>
          <w:noProof/>
        </w:rPr>
        <w:t>referenčných hodnotách. Navrhovaným odkladom sa oddiali zlepšenie dostupnosti informácií pre účastníkov finančného trhu, úverové inštitúcie</w:t>
      </w:r>
      <w:r w:rsidR="00F12C48">
        <w:rPr>
          <w:noProof/>
        </w:rPr>
        <w:t xml:space="preserve"> a </w:t>
      </w:r>
      <w:r w:rsidRPr="00F12C48">
        <w:rPr>
          <w:noProof/>
        </w:rPr>
        <w:t>správcov referenčných hodnôt</w:t>
      </w:r>
      <w:r w:rsidR="00F12C48">
        <w:rPr>
          <w:noProof/>
        </w:rPr>
        <w:t>.</w:t>
      </w:r>
    </w:p>
    <w:p w14:paraId="613BA52B" w14:textId="329A753A" w:rsidR="00F12C48" w:rsidRDefault="00F763CA" w:rsidP="0094068A">
      <w:pPr>
        <w:pBdr>
          <w:top w:val="nil"/>
          <w:left w:val="nil"/>
          <w:bottom w:val="nil"/>
          <w:right w:val="nil"/>
          <w:between w:val="nil"/>
          <w:bar w:val="nil"/>
        </w:pBdr>
        <w:spacing w:before="0" w:after="240"/>
        <w:rPr>
          <w:noProof/>
        </w:rPr>
      </w:pPr>
      <w:r w:rsidRPr="00F12C48">
        <w:rPr>
          <w:noProof/>
        </w:rPr>
        <w:t>Od podnikov, na ktoré sa vzťahuje tak smernica CSRD, ako aj smernica CSDDD, sa</w:t>
      </w:r>
      <w:r w:rsidR="00F12C48">
        <w:rPr>
          <w:noProof/>
        </w:rPr>
        <w:t xml:space="preserve"> v </w:t>
      </w:r>
      <w:r w:rsidRPr="00F12C48">
        <w:rPr>
          <w:noProof/>
        </w:rPr>
        <w:t>smernici CSDDD nevyžaduje, aby vykazovali dodatočné informácie nad rámec tých, ktoré sú povinné vykazovať podľa smernice CSRD. Keďže týmto návrhom sa odkladajú opatrenia stanovené</w:t>
      </w:r>
      <w:r w:rsidR="00F12C48">
        <w:rPr>
          <w:noProof/>
        </w:rPr>
        <w:t xml:space="preserve"> v </w:t>
      </w:r>
      <w:r w:rsidRPr="00F12C48">
        <w:rPr>
          <w:noProof/>
        </w:rPr>
        <w:t>smernici CSDDD, ako aj dátum začatia uplatňovania požiadaviek na vykazovanie informácií pre určité podniky podľa smernice CSRD, súlad medzi týmito dvoma právnymi predpismi je tak zachovaný</w:t>
      </w:r>
      <w:r w:rsidR="00F12C48">
        <w:rPr>
          <w:noProof/>
        </w:rPr>
        <w:t>.</w:t>
      </w:r>
    </w:p>
    <w:p w14:paraId="4B559101" w14:textId="4465CEF6" w:rsidR="006C7F87" w:rsidRPr="00F12C48" w:rsidRDefault="006C7F87" w:rsidP="0094068A">
      <w:pPr>
        <w:pStyle w:val="ManualHeading2"/>
        <w:rPr>
          <w:rFonts w:eastAsia="Arial Unicode MS"/>
          <w:noProof/>
        </w:rPr>
      </w:pPr>
      <w:r w:rsidRPr="00F12C48">
        <w:rPr>
          <w:noProof/>
          <w:color w:val="000000"/>
          <w:u w:color="000000"/>
          <w:bdr w:val="nil"/>
        </w:rPr>
        <w:t>•</w:t>
      </w:r>
      <w:r w:rsidRPr="00F12C48">
        <w:rPr>
          <w:noProof/>
        </w:rPr>
        <w:tab/>
        <w:t>Súlad</w:t>
      </w:r>
      <w:r w:rsidR="00F12C48">
        <w:rPr>
          <w:noProof/>
        </w:rPr>
        <w:t xml:space="preserve"> s </w:t>
      </w:r>
      <w:r w:rsidRPr="00F12C48">
        <w:rPr>
          <w:noProof/>
        </w:rPr>
        <w:t>ostatnými politikami Únie</w:t>
      </w:r>
    </w:p>
    <w:p w14:paraId="4A91E4E9" w14:textId="2876A240" w:rsidR="00F12C48" w:rsidRDefault="00B8576D" w:rsidP="00B8576D">
      <w:pPr>
        <w:pBdr>
          <w:top w:val="nil"/>
          <w:left w:val="nil"/>
          <w:bottom w:val="nil"/>
          <w:right w:val="nil"/>
          <w:between w:val="nil"/>
          <w:bar w:val="nil"/>
        </w:pBdr>
        <w:spacing w:before="0" w:after="240"/>
        <w:rPr>
          <w:noProof/>
        </w:rPr>
      </w:pPr>
      <w:r w:rsidRPr="00F12C48">
        <w:rPr>
          <w:noProof/>
        </w:rPr>
        <w:t>Tento návrh je</w:t>
      </w:r>
      <w:r w:rsidR="00F12C48">
        <w:rPr>
          <w:noProof/>
        </w:rPr>
        <w:t xml:space="preserve"> v </w:t>
      </w:r>
      <w:r w:rsidRPr="00F12C48">
        <w:rPr>
          <w:noProof/>
        </w:rPr>
        <w:t>súlade</w:t>
      </w:r>
      <w:r w:rsidR="00F12C48">
        <w:rPr>
          <w:noProof/>
        </w:rPr>
        <w:t xml:space="preserve"> s </w:t>
      </w:r>
      <w:r w:rsidRPr="00F12C48">
        <w:rPr>
          <w:noProof/>
        </w:rPr>
        <w:t>politikou EÚ na zvýšenie konkurencieschopnosti, zjednodušenie regulačného rámca</w:t>
      </w:r>
      <w:r w:rsidR="00F12C48">
        <w:rPr>
          <w:noProof/>
        </w:rPr>
        <w:t xml:space="preserve"> a </w:t>
      </w:r>
      <w:r w:rsidRPr="00F12C48">
        <w:rPr>
          <w:noProof/>
        </w:rPr>
        <w:t>zníženie zaťaženia podnikov pri súčasnom dosahovaní politických cieľov smerníc CSRD</w:t>
      </w:r>
      <w:r w:rsidR="00F12C48">
        <w:rPr>
          <w:noProof/>
        </w:rPr>
        <w:t xml:space="preserve"> a </w:t>
      </w:r>
      <w:r w:rsidRPr="00F12C48">
        <w:rPr>
          <w:noProof/>
        </w:rPr>
        <w:t>CSDDD. To zahŕňa aj zachovanie Zelenej dohody, keďže strednodobá až dlhodobá konkurencieschopnosť závisí od toho, či spoločnosti do svojich činností dostatočne začleňujú aspekty udržateľnosti</w:t>
      </w:r>
      <w:r w:rsidR="00F12C48">
        <w:rPr>
          <w:noProof/>
        </w:rPr>
        <w:t>.</w:t>
      </w:r>
    </w:p>
    <w:p w14:paraId="60ACF72B" w14:textId="483C40E1" w:rsidR="006C7F87" w:rsidRPr="00F12C48" w:rsidRDefault="006C7F87" w:rsidP="0094068A">
      <w:pPr>
        <w:pStyle w:val="ManualHeading1"/>
        <w:rPr>
          <w:noProof/>
        </w:rPr>
      </w:pPr>
      <w:r w:rsidRPr="00F12C48">
        <w:rPr>
          <w:noProof/>
        </w:rPr>
        <w:t>2.</w:t>
      </w:r>
      <w:r w:rsidRPr="00F12C48">
        <w:rPr>
          <w:noProof/>
        </w:rPr>
        <w:tab/>
        <w:t>PRÁVNY ZÁKLAD, SUBSIDIARITA A PROPORCIONALITA</w:t>
      </w:r>
    </w:p>
    <w:p w14:paraId="66932301" w14:textId="77777777" w:rsidR="006C7F87" w:rsidRPr="00F12C48" w:rsidRDefault="006C7F87" w:rsidP="0094068A">
      <w:pPr>
        <w:pStyle w:val="ManualHeading2"/>
        <w:rPr>
          <w:rFonts w:eastAsia="Arial Unicode MS"/>
          <w:noProof/>
          <w:u w:color="000000"/>
          <w:bdr w:val="nil"/>
        </w:rPr>
      </w:pPr>
      <w:r w:rsidRPr="00F12C48">
        <w:rPr>
          <w:noProof/>
          <w:u w:color="000000"/>
          <w:bdr w:val="nil"/>
        </w:rPr>
        <w:t>•</w:t>
      </w:r>
      <w:r w:rsidRPr="00F12C48">
        <w:rPr>
          <w:noProof/>
        </w:rPr>
        <w:tab/>
      </w:r>
      <w:r w:rsidRPr="00F12C48">
        <w:rPr>
          <w:noProof/>
          <w:u w:color="000000"/>
          <w:bdr w:val="nil"/>
        </w:rPr>
        <w:t>Právny základ</w:t>
      </w:r>
    </w:p>
    <w:p w14:paraId="35B2DD44" w14:textId="6F1858DD" w:rsidR="006C7F87" w:rsidRPr="00F12C48" w:rsidRDefault="009C089C" w:rsidP="0094068A">
      <w:pPr>
        <w:pBdr>
          <w:top w:val="nil"/>
          <w:left w:val="nil"/>
          <w:bottom w:val="nil"/>
          <w:right w:val="nil"/>
          <w:between w:val="nil"/>
          <w:bar w:val="nil"/>
        </w:pBdr>
        <w:spacing w:before="0" w:after="240"/>
        <w:rPr>
          <w:rFonts w:eastAsia="Arial Unicode MS"/>
          <w:noProof/>
        </w:rPr>
      </w:pPr>
      <w:r w:rsidRPr="00F12C48">
        <w:rPr>
          <w:noProof/>
        </w:rPr>
        <w:t>Právny základ návrhu smernice je založený na článkoch 50</w:t>
      </w:r>
      <w:r w:rsidR="00F12C48">
        <w:rPr>
          <w:noProof/>
        </w:rPr>
        <w:t xml:space="preserve"> a </w:t>
      </w:r>
      <w:r w:rsidRPr="00F12C48">
        <w:rPr>
          <w:noProof/>
        </w:rPr>
        <w:t>114 Zmluvy</w:t>
      </w:r>
      <w:r w:rsidR="00F12C48">
        <w:rPr>
          <w:noProof/>
        </w:rPr>
        <w:t xml:space="preserve"> o </w:t>
      </w:r>
      <w:r w:rsidRPr="00F12C48">
        <w:rPr>
          <w:noProof/>
        </w:rPr>
        <w:t>fungovaní Európskej únie (ZFEÚ). Článok 50 ZFEÚ je právnym základom pre prijímanie opatrení EÚ zameraných na dosiahnutie práva usadiť sa na jednotnom trhu</w:t>
      </w:r>
      <w:r w:rsidR="00F12C48">
        <w:rPr>
          <w:noProof/>
        </w:rPr>
        <w:t xml:space="preserve"> v </w:t>
      </w:r>
      <w:r w:rsidRPr="00F12C48">
        <w:rPr>
          <w:noProof/>
        </w:rPr>
        <w:t>oblasti práva obchodných spoločností</w:t>
      </w:r>
      <w:r w:rsidR="00F12C48">
        <w:rPr>
          <w:noProof/>
        </w:rPr>
        <w:t xml:space="preserve"> a </w:t>
      </w:r>
      <w:r w:rsidRPr="00F12C48">
        <w:rPr>
          <w:noProof/>
        </w:rPr>
        <w:t>poveruje Európsky parlament</w:t>
      </w:r>
      <w:r w:rsidR="00F12C48">
        <w:rPr>
          <w:noProof/>
        </w:rPr>
        <w:t xml:space="preserve"> a </w:t>
      </w:r>
      <w:r w:rsidRPr="00F12C48">
        <w:rPr>
          <w:noProof/>
        </w:rPr>
        <w:t>Radu, aby konali prostredníctvom smerníc. Článok 114 ZFEÚ je všeobecným právnym základom</w:t>
      </w:r>
      <w:r w:rsidR="00F12C48">
        <w:rPr>
          <w:noProof/>
        </w:rPr>
        <w:t xml:space="preserve"> s </w:t>
      </w:r>
      <w:r w:rsidRPr="00F12C48">
        <w:rPr>
          <w:noProof/>
        </w:rPr>
        <w:t>cieľom vytvoriť jednotný trh alebo zabezpečiť jeho fungovanie –</w:t>
      </w:r>
      <w:r w:rsidR="00F12C48">
        <w:rPr>
          <w:noProof/>
        </w:rPr>
        <w:t xml:space="preserve"> v </w:t>
      </w:r>
      <w:r w:rsidRPr="00F12C48">
        <w:rPr>
          <w:noProof/>
        </w:rPr>
        <w:t>tomto prípade voľný pohyb kapitálu. Články 50</w:t>
      </w:r>
      <w:r w:rsidR="00F12C48">
        <w:rPr>
          <w:noProof/>
        </w:rPr>
        <w:t xml:space="preserve"> a </w:t>
      </w:r>
      <w:r w:rsidRPr="00F12C48">
        <w:rPr>
          <w:noProof/>
        </w:rPr>
        <w:t>114 ZFEÚ sú právnymi základmi</w:t>
      </w:r>
      <w:r w:rsidR="00F12C48">
        <w:rPr>
          <w:noProof/>
        </w:rPr>
        <w:t xml:space="preserve"> v </w:t>
      </w:r>
      <w:r w:rsidRPr="00F12C48">
        <w:rPr>
          <w:noProof/>
        </w:rPr>
        <w:t>prípade smernice (EÚ) 2022/2464</w:t>
      </w:r>
      <w:r w:rsidR="00F12C48">
        <w:rPr>
          <w:noProof/>
        </w:rPr>
        <w:t xml:space="preserve"> a </w:t>
      </w:r>
      <w:r w:rsidRPr="00F12C48">
        <w:rPr>
          <w:noProof/>
        </w:rPr>
        <w:t>smernice (EÚ) 2024/1760.</w:t>
      </w:r>
    </w:p>
    <w:p w14:paraId="13631EF8" w14:textId="77777777" w:rsidR="00F12C48" w:rsidRDefault="006C7F87" w:rsidP="0094068A">
      <w:pPr>
        <w:pStyle w:val="ManualHeading2"/>
        <w:rPr>
          <w:noProof/>
          <w:u w:color="000000"/>
          <w:bdr w:val="nil"/>
        </w:rPr>
      </w:pPr>
      <w:r w:rsidRPr="00F12C48">
        <w:rPr>
          <w:noProof/>
          <w:u w:color="000000"/>
          <w:bdr w:val="nil"/>
        </w:rPr>
        <w:t>•</w:t>
      </w:r>
      <w:r w:rsidRPr="00F12C48">
        <w:rPr>
          <w:noProof/>
        </w:rPr>
        <w:tab/>
      </w:r>
      <w:r w:rsidRPr="00F12C48">
        <w:rPr>
          <w:noProof/>
          <w:u w:color="000000"/>
          <w:bdr w:val="nil"/>
        </w:rPr>
        <w:t>Subsidiarita (v prípade inej ako výlučnej právomoci)</w:t>
      </w:r>
    </w:p>
    <w:p w14:paraId="6E6F15DE" w14:textId="455CC7A0" w:rsidR="00F12C48" w:rsidRDefault="000515FD" w:rsidP="0094068A">
      <w:pPr>
        <w:pBdr>
          <w:top w:val="nil"/>
          <w:left w:val="nil"/>
          <w:bottom w:val="nil"/>
          <w:right w:val="nil"/>
          <w:between w:val="nil"/>
          <w:bar w:val="nil"/>
        </w:pBdr>
        <w:spacing w:before="0" w:after="240"/>
        <w:rPr>
          <w:noProof/>
        </w:rPr>
      </w:pPr>
      <w:r w:rsidRPr="00F12C48">
        <w:rPr>
          <w:noProof/>
        </w:rPr>
        <w:t xml:space="preserve">Týmto návrhom sa menia </w:t>
      </w:r>
      <w:bookmarkStart w:id="0" w:name="_Hlk189940979"/>
      <w:r w:rsidRPr="00F12C48">
        <w:rPr>
          <w:noProof/>
        </w:rPr>
        <w:t>dátumy začatia uplatňovania určitých ustanovení práva EÚ</w:t>
      </w:r>
      <w:bookmarkEnd w:id="0"/>
      <w:r w:rsidRPr="00F12C48">
        <w:rPr>
          <w:noProof/>
        </w:rPr>
        <w:t>. Tieto dátumy možno zmeniť len prostredníctvom opatrení na úrovni EÚ</w:t>
      </w:r>
      <w:r w:rsidR="00F12C48">
        <w:rPr>
          <w:noProof/>
        </w:rPr>
        <w:t>.</w:t>
      </w:r>
    </w:p>
    <w:p w14:paraId="7D16969E" w14:textId="5A078B12" w:rsidR="006C7F87" w:rsidRPr="00F12C48" w:rsidRDefault="006C7F87" w:rsidP="0094068A">
      <w:pPr>
        <w:pStyle w:val="ManualHeading2"/>
        <w:rPr>
          <w:rFonts w:eastAsia="Arial Unicode MS"/>
          <w:noProof/>
          <w:u w:color="000000"/>
          <w:bdr w:val="nil"/>
        </w:rPr>
      </w:pPr>
      <w:r w:rsidRPr="00F12C48">
        <w:rPr>
          <w:noProof/>
          <w:u w:color="000000"/>
          <w:bdr w:val="nil"/>
        </w:rPr>
        <w:t>•</w:t>
      </w:r>
      <w:r w:rsidRPr="00F12C48">
        <w:rPr>
          <w:noProof/>
        </w:rPr>
        <w:tab/>
      </w:r>
      <w:r w:rsidRPr="00F12C48">
        <w:rPr>
          <w:noProof/>
          <w:u w:color="000000"/>
          <w:bdr w:val="nil"/>
        </w:rPr>
        <w:t>Proporcionalita</w:t>
      </w:r>
    </w:p>
    <w:p w14:paraId="67AC2D74" w14:textId="77777777" w:rsidR="00F12C48" w:rsidRDefault="00A67FB0" w:rsidP="0094068A">
      <w:pPr>
        <w:pBdr>
          <w:top w:val="nil"/>
          <w:left w:val="nil"/>
          <w:bottom w:val="nil"/>
          <w:right w:val="nil"/>
          <w:between w:val="nil"/>
          <w:bar w:val="nil"/>
        </w:pBdr>
        <w:spacing w:before="0" w:after="240"/>
        <w:rPr>
          <w:noProof/>
        </w:rPr>
      </w:pPr>
      <w:r w:rsidRPr="00F12C48">
        <w:rPr>
          <w:noProof/>
        </w:rPr>
        <w:t>Cieľom politiky je odložiť dátumy začatia uplatňovania určitých ustanovení práva EÚ. Jediným prostriedkom na dosiahnutie tohto cieľa je navrhnúť zmenu týchto dátumov</w:t>
      </w:r>
      <w:r w:rsidR="00F12C48">
        <w:rPr>
          <w:noProof/>
        </w:rPr>
        <w:t>.</w:t>
      </w:r>
    </w:p>
    <w:p w14:paraId="369E84B1" w14:textId="7BB19B9F" w:rsidR="006C7F87" w:rsidRPr="00F12C48" w:rsidRDefault="006C7F87" w:rsidP="0094068A">
      <w:pPr>
        <w:pStyle w:val="ManualHeading2"/>
        <w:rPr>
          <w:rFonts w:eastAsia="Arial Unicode MS"/>
          <w:noProof/>
          <w:u w:color="000000"/>
          <w:bdr w:val="nil"/>
        </w:rPr>
      </w:pPr>
      <w:r w:rsidRPr="00F12C48">
        <w:rPr>
          <w:noProof/>
          <w:u w:color="000000"/>
          <w:bdr w:val="nil"/>
        </w:rPr>
        <w:t>•</w:t>
      </w:r>
      <w:r w:rsidRPr="00F12C48">
        <w:rPr>
          <w:noProof/>
        </w:rPr>
        <w:tab/>
      </w:r>
      <w:r w:rsidRPr="00F12C48">
        <w:rPr>
          <w:noProof/>
          <w:u w:color="000000"/>
          <w:bdr w:val="nil"/>
        </w:rPr>
        <w:t>Výber nástroja</w:t>
      </w:r>
    </w:p>
    <w:p w14:paraId="7A555AA8" w14:textId="71B6F9AD" w:rsidR="006C7F87" w:rsidRPr="00F12C48" w:rsidRDefault="00327AFF" w:rsidP="0094068A">
      <w:pPr>
        <w:pBdr>
          <w:top w:val="nil"/>
          <w:left w:val="nil"/>
          <w:bottom w:val="nil"/>
          <w:right w:val="nil"/>
          <w:between w:val="nil"/>
          <w:bar w:val="nil"/>
        </w:pBdr>
        <w:spacing w:before="0" w:after="240"/>
        <w:rPr>
          <w:rFonts w:eastAsia="Arial Unicode MS"/>
          <w:noProof/>
        </w:rPr>
      </w:pPr>
      <w:r w:rsidRPr="00F12C48">
        <w:rPr>
          <w:noProof/>
        </w:rPr>
        <w:t>Tento návrh pozostáva zo smernice, ktorou sa menia ustanovenia smernice</w:t>
      </w:r>
      <w:r w:rsidR="00F12C48">
        <w:rPr>
          <w:noProof/>
        </w:rPr>
        <w:t xml:space="preserve"> o </w:t>
      </w:r>
      <w:r w:rsidRPr="00F12C48">
        <w:rPr>
          <w:noProof/>
        </w:rPr>
        <w:t>vykazovaní informácií</w:t>
      </w:r>
      <w:r w:rsidR="00F12C48">
        <w:rPr>
          <w:noProof/>
        </w:rPr>
        <w:t xml:space="preserve"> o </w:t>
      </w:r>
      <w:r w:rsidRPr="00F12C48">
        <w:rPr>
          <w:noProof/>
        </w:rPr>
        <w:t>udržateľnosti podnikov (CSRD)</w:t>
      </w:r>
      <w:r w:rsidR="00F12C48">
        <w:rPr>
          <w:noProof/>
        </w:rPr>
        <w:t xml:space="preserve"> a </w:t>
      </w:r>
      <w:r w:rsidRPr="00F12C48">
        <w:rPr>
          <w:noProof/>
        </w:rPr>
        <w:t>smernice</w:t>
      </w:r>
      <w:r w:rsidR="00F12C48">
        <w:rPr>
          <w:noProof/>
        </w:rPr>
        <w:t xml:space="preserve"> o </w:t>
      </w:r>
      <w:r w:rsidRPr="00F12C48">
        <w:rPr>
          <w:noProof/>
        </w:rPr>
        <w:t>náležitej starostlivosti podnikov</w:t>
      </w:r>
      <w:r w:rsidR="00F12C48">
        <w:rPr>
          <w:noProof/>
        </w:rPr>
        <w:t xml:space="preserve"> v </w:t>
      </w:r>
      <w:r w:rsidRPr="00F12C48">
        <w:rPr>
          <w:noProof/>
        </w:rPr>
        <w:t xml:space="preserve">oblasti udržateľnosti (CSDDD). Súhrnná smernica sa považuje za najvhodnejší právny </w:t>
      </w:r>
      <w:r w:rsidRPr="00F12C48">
        <w:rPr>
          <w:noProof/>
        </w:rPr>
        <w:lastRenderedPageBreak/>
        <w:t>nástroj na zmenu existujúcich smerníc, pokiaľ ide</w:t>
      </w:r>
      <w:r w:rsidR="00F12C48">
        <w:rPr>
          <w:noProof/>
        </w:rPr>
        <w:t xml:space="preserve"> o </w:t>
      </w:r>
      <w:r w:rsidRPr="00F12C48">
        <w:rPr>
          <w:noProof/>
        </w:rPr>
        <w:t>zjednodušenie</w:t>
      </w:r>
      <w:r w:rsidR="00F12C48">
        <w:rPr>
          <w:noProof/>
        </w:rPr>
        <w:t xml:space="preserve"> a </w:t>
      </w:r>
      <w:r w:rsidRPr="00F12C48">
        <w:rPr>
          <w:noProof/>
        </w:rPr>
        <w:t>zníženie zaťaženia</w:t>
      </w:r>
      <w:r w:rsidR="00F12C48">
        <w:rPr>
          <w:noProof/>
        </w:rPr>
        <w:t xml:space="preserve"> v </w:t>
      </w:r>
      <w:r w:rsidRPr="00F12C48">
        <w:rPr>
          <w:noProof/>
        </w:rPr>
        <w:t>oblasti vykazovania informácií</w:t>
      </w:r>
      <w:r w:rsidR="00F12C48">
        <w:rPr>
          <w:noProof/>
        </w:rPr>
        <w:t xml:space="preserve"> o </w:t>
      </w:r>
      <w:r w:rsidRPr="00F12C48">
        <w:rPr>
          <w:noProof/>
        </w:rPr>
        <w:t>udržateľnosti</w:t>
      </w:r>
      <w:r w:rsidR="00F12C48">
        <w:rPr>
          <w:noProof/>
        </w:rPr>
        <w:t xml:space="preserve"> a </w:t>
      </w:r>
      <w:r w:rsidRPr="00F12C48">
        <w:rPr>
          <w:noProof/>
        </w:rPr>
        <w:t>náležitej starostlivosti</w:t>
      </w:r>
      <w:r w:rsidR="00F12C48">
        <w:rPr>
          <w:noProof/>
        </w:rPr>
        <w:t xml:space="preserve"> v </w:t>
      </w:r>
      <w:r w:rsidRPr="00F12C48">
        <w:rPr>
          <w:noProof/>
        </w:rPr>
        <w:t>oblasti udržateľnosti.</w:t>
      </w:r>
    </w:p>
    <w:p w14:paraId="3783CF80" w14:textId="77777777" w:rsidR="006C7F87" w:rsidRPr="00F12C48" w:rsidRDefault="006C7F87" w:rsidP="0094068A">
      <w:pPr>
        <w:pStyle w:val="ManualHeading1"/>
        <w:rPr>
          <w:noProof/>
        </w:rPr>
      </w:pPr>
      <w:r w:rsidRPr="00F12C48">
        <w:rPr>
          <w:noProof/>
        </w:rPr>
        <w:t>3.</w:t>
      </w:r>
      <w:r w:rsidRPr="00F12C48">
        <w:rPr>
          <w:noProof/>
        </w:rPr>
        <w:tab/>
        <w:t>VÝSLEDKY HODNOTENÍ EX POST, KONZULTÁCIÍ SO ZAINTERESOVANÝMI STRANAMI A POSÚDENÍ VPLYVU</w:t>
      </w:r>
    </w:p>
    <w:p w14:paraId="56BC2DB3" w14:textId="77777777" w:rsidR="006C7F87" w:rsidRPr="00F12C48" w:rsidRDefault="006C7F87" w:rsidP="0094068A">
      <w:pPr>
        <w:pStyle w:val="ManualHeading2"/>
        <w:rPr>
          <w:rFonts w:eastAsia="Arial Unicode MS"/>
          <w:noProof/>
          <w:u w:color="000000"/>
          <w:bdr w:val="nil"/>
        </w:rPr>
      </w:pPr>
      <w:r w:rsidRPr="00F12C48">
        <w:rPr>
          <w:noProof/>
          <w:u w:color="000000"/>
          <w:bdr w:val="nil"/>
        </w:rPr>
        <w:t>•</w:t>
      </w:r>
      <w:r w:rsidRPr="00F12C48">
        <w:rPr>
          <w:noProof/>
        </w:rPr>
        <w:tab/>
      </w:r>
      <w:r w:rsidRPr="00F12C48">
        <w:rPr>
          <w:noProof/>
          <w:u w:color="000000"/>
          <w:bdr w:val="nil"/>
        </w:rPr>
        <w:t>Hodnotenia ex post/kontroly vhodnosti existujúcich právnych predpisov</w:t>
      </w:r>
    </w:p>
    <w:p w14:paraId="099A2460" w14:textId="610B2AA5" w:rsidR="00F12C48" w:rsidRDefault="00D03258" w:rsidP="00D03258">
      <w:pPr>
        <w:pBdr>
          <w:top w:val="nil"/>
          <w:left w:val="nil"/>
          <w:bottom w:val="nil"/>
          <w:right w:val="nil"/>
          <w:between w:val="nil"/>
          <w:bar w:val="nil"/>
        </w:pBdr>
        <w:spacing w:before="0" w:after="240"/>
        <w:rPr>
          <w:noProof/>
        </w:rPr>
      </w:pPr>
      <w:r w:rsidRPr="00F12C48">
        <w:rPr>
          <w:noProof/>
        </w:rPr>
        <w:t>Smernica CSDDD ešte nebola transponovaná</w:t>
      </w:r>
      <w:r w:rsidR="00F12C48">
        <w:rPr>
          <w:noProof/>
        </w:rPr>
        <w:t xml:space="preserve"> a </w:t>
      </w:r>
      <w:r w:rsidRPr="00F12C48">
        <w:rPr>
          <w:noProof/>
        </w:rPr>
        <w:t>spoločnosti ju zatiaľ neuplatňujú. Smernicu CSRD uplatnila prvá skupina spoločností, ktoré uverejňujú svoje prvé vyhlásenia</w:t>
      </w:r>
      <w:r w:rsidR="00F12C48">
        <w:rPr>
          <w:noProof/>
        </w:rPr>
        <w:t xml:space="preserve"> o </w:t>
      </w:r>
      <w:r w:rsidRPr="00F12C48">
        <w:rPr>
          <w:noProof/>
        </w:rPr>
        <w:t>udržateľnosti najmä</w:t>
      </w:r>
      <w:r w:rsidR="00F12C48">
        <w:rPr>
          <w:noProof/>
        </w:rPr>
        <w:t xml:space="preserve"> v </w:t>
      </w:r>
      <w:r w:rsidRPr="00F12C48">
        <w:rPr>
          <w:noProof/>
        </w:rPr>
        <w:t xml:space="preserve">prvom polroku 2025. Preto nebolo možné vykonať hodnotenie </w:t>
      </w:r>
      <w:r w:rsidRPr="00F12C48">
        <w:rPr>
          <w:i/>
          <w:noProof/>
        </w:rPr>
        <w:t>ex post</w:t>
      </w:r>
      <w:r w:rsidRPr="00F12C48">
        <w:rPr>
          <w:noProof/>
        </w:rPr>
        <w:t xml:space="preserve"> ani kontrolu vhodnosti žiadneho právneho predpisu</w:t>
      </w:r>
      <w:r w:rsidR="00F12C48">
        <w:rPr>
          <w:noProof/>
        </w:rPr>
        <w:t>.</w:t>
      </w:r>
    </w:p>
    <w:p w14:paraId="7A481714" w14:textId="53589D5F" w:rsidR="006C7F87" w:rsidRPr="00F12C48" w:rsidRDefault="006C7F87" w:rsidP="0094068A">
      <w:pPr>
        <w:pStyle w:val="ManualHeading2"/>
        <w:rPr>
          <w:rFonts w:eastAsia="Arial Unicode MS"/>
          <w:noProof/>
          <w:u w:color="000000"/>
          <w:bdr w:val="nil"/>
        </w:rPr>
      </w:pPr>
      <w:r w:rsidRPr="00F12C48">
        <w:rPr>
          <w:noProof/>
          <w:u w:color="000000"/>
          <w:bdr w:val="nil"/>
        </w:rPr>
        <w:t>•</w:t>
      </w:r>
      <w:r w:rsidRPr="00F12C48">
        <w:rPr>
          <w:noProof/>
        </w:rPr>
        <w:tab/>
      </w:r>
      <w:r w:rsidRPr="00F12C48">
        <w:rPr>
          <w:noProof/>
          <w:u w:color="000000"/>
          <w:bdr w:val="nil"/>
        </w:rPr>
        <w:t>Konzultácie so zainteresovanými stranami</w:t>
      </w:r>
    </w:p>
    <w:p w14:paraId="2DC9C867" w14:textId="77777777" w:rsidR="00F12C48" w:rsidRDefault="001275AC" w:rsidP="001275AC">
      <w:pPr>
        <w:pBdr>
          <w:top w:val="nil"/>
          <w:left w:val="nil"/>
          <w:bottom w:val="nil"/>
          <w:right w:val="nil"/>
          <w:between w:val="nil"/>
          <w:bar w:val="nil"/>
        </w:pBdr>
        <w:spacing w:before="0" w:after="240"/>
        <w:rPr>
          <w:noProof/>
        </w:rPr>
      </w:pPr>
      <w:r w:rsidRPr="00F12C48">
        <w:rPr>
          <w:noProof/>
        </w:rPr>
        <w:t>Obsah tohto návrhu pomohli formovať nasledujúce konzultačné činnosti</w:t>
      </w:r>
      <w:r w:rsidR="00F12C48">
        <w:rPr>
          <w:noProof/>
        </w:rPr>
        <w:t>:</w:t>
      </w:r>
    </w:p>
    <w:p w14:paraId="374C01E1" w14:textId="0D5E134C" w:rsidR="00F12C48" w:rsidRDefault="001275AC" w:rsidP="000B7904">
      <w:pPr>
        <w:pStyle w:val="paragraph"/>
        <w:numPr>
          <w:ilvl w:val="0"/>
          <w:numId w:val="17"/>
        </w:numPr>
        <w:spacing w:before="0" w:beforeAutospacing="0" w:after="0" w:afterAutospacing="0"/>
        <w:jc w:val="both"/>
        <w:textAlignment w:val="baseline"/>
        <w:rPr>
          <w:noProof/>
        </w:rPr>
      </w:pPr>
      <w:r w:rsidRPr="00F12C48">
        <w:rPr>
          <w:rStyle w:val="normaltextrun"/>
          <w:noProof/>
          <w:color w:val="000000"/>
          <w:shd w:val="clear" w:color="auto" w:fill="FFFFFF"/>
        </w:rPr>
        <w:t>Európska komisia, „Výzva na predloženie dôkazov</w:t>
      </w:r>
      <w:r w:rsidR="00F12C48">
        <w:rPr>
          <w:rStyle w:val="normaltextrun"/>
          <w:noProof/>
          <w:color w:val="000000"/>
          <w:shd w:val="clear" w:color="auto" w:fill="FFFFFF"/>
        </w:rPr>
        <w:t xml:space="preserve"> o </w:t>
      </w:r>
      <w:r w:rsidRPr="00F12C48">
        <w:rPr>
          <w:rStyle w:val="normaltextrun"/>
          <w:noProof/>
          <w:color w:val="000000"/>
          <w:shd w:val="clear" w:color="auto" w:fill="FFFFFF"/>
        </w:rPr>
        <w:t>racionalizácii požiadaviek na vykazovanie“, od októbra do decembra 2023</w:t>
      </w:r>
      <w:r w:rsidRPr="00F12C48">
        <w:rPr>
          <w:rStyle w:val="Odkaznapoznmkupodiarou"/>
          <w:noProof/>
          <w:color w:val="000000"/>
        </w:rPr>
        <w:footnoteReference w:id="18"/>
      </w:r>
      <w:r w:rsidR="00F12C48">
        <w:rPr>
          <w:noProof/>
        </w:rPr>
        <w:t>.</w:t>
      </w:r>
    </w:p>
    <w:p w14:paraId="58A6F751" w14:textId="514F4C7E" w:rsidR="001275AC" w:rsidRPr="00F12C48" w:rsidRDefault="001275AC" w:rsidP="000B7904">
      <w:pPr>
        <w:pStyle w:val="paragraph"/>
        <w:numPr>
          <w:ilvl w:val="0"/>
          <w:numId w:val="17"/>
        </w:numPr>
        <w:spacing w:before="0" w:beforeAutospacing="0" w:after="0" w:afterAutospacing="0"/>
        <w:jc w:val="both"/>
        <w:textAlignment w:val="baseline"/>
        <w:rPr>
          <w:rStyle w:val="normaltextrun"/>
          <w:rFonts w:ascii="Segoe UI" w:hAnsi="Segoe UI" w:cs="Segoe UI"/>
          <w:noProof/>
          <w:sz w:val="18"/>
          <w:szCs w:val="18"/>
        </w:rPr>
      </w:pPr>
      <w:r w:rsidRPr="00F12C48">
        <w:rPr>
          <w:rStyle w:val="normaltextrun"/>
          <w:noProof/>
        </w:rPr>
        <w:t>Európska komisia, „Kontrola reálneho stavu</w:t>
      </w:r>
      <w:r w:rsidR="00F12C48">
        <w:rPr>
          <w:rStyle w:val="normaltextrun"/>
          <w:noProof/>
        </w:rPr>
        <w:t xml:space="preserve"> v </w:t>
      </w:r>
      <w:r w:rsidRPr="00F12C48">
        <w:rPr>
          <w:rStyle w:val="normaltextrun"/>
          <w:noProof/>
        </w:rPr>
        <w:t>oblasti vykazovania informácií</w:t>
      </w:r>
      <w:r w:rsidR="00F12C48">
        <w:rPr>
          <w:rStyle w:val="normaltextrun"/>
          <w:noProof/>
        </w:rPr>
        <w:t xml:space="preserve"> o </w:t>
      </w:r>
      <w:r w:rsidRPr="00F12C48">
        <w:rPr>
          <w:rStyle w:val="normaltextrun"/>
          <w:noProof/>
        </w:rPr>
        <w:t>udržateľnosti</w:t>
      </w:r>
      <w:r w:rsidR="00F12C48">
        <w:rPr>
          <w:rStyle w:val="normaltextrun"/>
          <w:noProof/>
        </w:rPr>
        <w:t xml:space="preserve"> a </w:t>
      </w:r>
      <w:r w:rsidRPr="00F12C48">
        <w:rPr>
          <w:rStyle w:val="normaltextrun"/>
          <w:noProof/>
        </w:rPr>
        <w:t>okrúhly stôl</w:t>
      </w:r>
      <w:r w:rsidR="00F12C48">
        <w:rPr>
          <w:rStyle w:val="normaltextrun"/>
          <w:noProof/>
        </w:rPr>
        <w:t xml:space="preserve"> o </w:t>
      </w:r>
      <w:r w:rsidRPr="00F12C48">
        <w:rPr>
          <w:rStyle w:val="normaltextrun"/>
          <w:noProof/>
        </w:rPr>
        <w:t>zjednodušení“, začiatkom februára 2025.</w:t>
      </w:r>
    </w:p>
    <w:p w14:paraId="186ABB6A" w14:textId="243B6501" w:rsidR="001275AC" w:rsidRPr="00F12C48" w:rsidRDefault="001275AC" w:rsidP="000B7904">
      <w:pPr>
        <w:pStyle w:val="paragraph"/>
        <w:numPr>
          <w:ilvl w:val="0"/>
          <w:numId w:val="17"/>
        </w:numPr>
        <w:spacing w:before="0" w:beforeAutospacing="0" w:after="0" w:afterAutospacing="0"/>
        <w:jc w:val="both"/>
        <w:textAlignment w:val="baseline"/>
        <w:rPr>
          <w:rFonts w:ascii="Segoe UI" w:hAnsi="Segoe UI" w:cs="Segoe UI"/>
          <w:noProof/>
          <w:sz w:val="18"/>
          <w:szCs w:val="18"/>
        </w:rPr>
      </w:pPr>
      <w:r w:rsidRPr="00F12C48">
        <w:rPr>
          <w:rStyle w:val="normaltextrun"/>
          <w:noProof/>
        </w:rPr>
        <w:t>Európska</w:t>
      </w:r>
      <w:r w:rsidRPr="00F12C48">
        <w:rPr>
          <w:noProof/>
        </w:rPr>
        <w:t xml:space="preserve"> komisia zorganizovala aj samostatné podujatia zainteresovaných strán vrátane dvoch veľkých hybridných fór zainteresovaných strán</w:t>
      </w:r>
      <w:r w:rsidR="00F12C48">
        <w:rPr>
          <w:noProof/>
        </w:rPr>
        <w:t xml:space="preserve"> o </w:t>
      </w:r>
      <w:r w:rsidRPr="00F12C48">
        <w:rPr>
          <w:noProof/>
        </w:rPr>
        <w:t>smernici CSRD</w:t>
      </w:r>
      <w:r w:rsidR="00F12C48">
        <w:rPr>
          <w:noProof/>
        </w:rPr>
        <w:t xml:space="preserve"> v </w:t>
      </w:r>
      <w:r w:rsidRPr="00F12C48">
        <w:rPr>
          <w:noProof/>
        </w:rPr>
        <w:t>máji</w:t>
      </w:r>
      <w:r w:rsidR="00F12C48">
        <w:rPr>
          <w:noProof/>
        </w:rPr>
        <w:t xml:space="preserve"> a </w:t>
      </w:r>
      <w:r w:rsidRPr="00F12C48">
        <w:rPr>
          <w:noProof/>
        </w:rPr>
        <w:t>novembri 2024 za účasti viac než 400 osôb osobne</w:t>
      </w:r>
      <w:r w:rsidR="00F12C48">
        <w:rPr>
          <w:noProof/>
        </w:rPr>
        <w:t xml:space="preserve"> a </w:t>
      </w:r>
      <w:r w:rsidRPr="00F12C48">
        <w:rPr>
          <w:noProof/>
        </w:rPr>
        <w:t>viac než 3 000 osôb virtuálne.</w:t>
      </w:r>
    </w:p>
    <w:p w14:paraId="51A494F1" w14:textId="02885A82" w:rsidR="000A19BC" w:rsidRPr="00F12C48" w:rsidRDefault="000A19BC" w:rsidP="000B7904">
      <w:pPr>
        <w:pStyle w:val="paragraph"/>
        <w:numPr>
          <w:ilvl w:val="0"/>
          <w:numId w:val="17"/>
        </w:numPr>
        <w:spacing w:before="0" w:beforeAutospacing="0" w:after="0" w:afterAutospacing="0"/>
        <w:jc w:val="both"/>
        <w:textAlignment w:val="baseline"/>
        <w:rPr>
          <w:noProof/>
        </w:rPr>
      </w:pPr>
      <w:r w:rsidRPr="00F12C48">
        <w:rPr>
          <w:noProof/>
        </w:rPr>
        <w:t>Európska komisia dostala veľmi veľký počet listov</w:t>
      </w:r>
      <w:r w:rsidR="00F12C48">
        <w:rPr>
          <w:noProof/>
        </w:rPr>
        <w:t xml:space="preserve"> a </w:t>
      </w:r>
      <w:r w:rsidRPr="00F12C48">
        <w:rPr>
          <w:noProof/>
        </w:rPr>
        <w:t>podrobných analýz od všetkých typov zainteresovaných strán (od spoločností cez investorov, banky, občiansku spoločnosť, mimovládne organizácie, obchodné komory až po vnútroštátne správne orgány členských štátov).</w:t>
      </w:r>
    </w:p>
    <w:p w14:paraId="31F2CDAC" w14:textId="77777777" w:rsidR="000A19BC" w:rsidRPr="00F12C48" w:rsidRDefault="000A19BC" w:rsidP="000A19BC">
      <w:pPr>
        <w:pStyle w:val="paragraph"/>
        <w:spacing w:before="0" w:beforeAutospacing="0" w:after="0" w:afterAutospacing="0"/>
        <w:ind w:left="720"/>
        <w:jc w:val="both"/>
        <w:textAlignment w:val="baseline"/>
        <w:rPr>
          <w:rFonts w:ascii="Segoe UI" w:hAnsi="Segoe UI" w:cs="Segoe UI"/>
          <w:noProof/>
          <w:sz w:val="18"/>
          <w:szCs w:val="18"/>
        </w:rPr>
      </w:pPr>
    </w:p>
    <w:p w14:paraId="4AC91D72" w14:textId="001BD5FB" w:rsidR="005A6B99" w:rsidRPr="00F12C48" w:rsidRDefault="005A6B99" w:rsidP="005A6B99">
      <w:pPr>
        <w:pBdr>
          <w:top w:val="nil"/>
          <w:left w:val="nil"/>
          <w:bottom w:val="nil"/>
          <w:right w:val="nil"/>
          <w:between w:val="nil"/>
          <w:bar w:val="nil"/>
        </w:pBdr>
        <w:spacing w:before="0" w:after="240"/>
        <w:rPr>
          <w:rStyle w:val="normaltextrun"/>
          <w:rFonts w:eastAsia="Arial Unicode MS"/>
          <w:noProof/>
          <w:u w:val="single"/>
        </w:rPr>
      </w:pPr>
      <w:r w:rsidRPr="00F12C48">
        <w:rPr>
          <w:noProof/>
          <w:u w:val="single"/>
        </w:rPr>
        <w:t>Smernica</w:t>
      </w:r>
      <w:r w:rsidR="00F12C48">
        <w:rPr>
          <w:noProof/>
          <w:u w:val="single"/>
        </w:rPr>
        <w:t xml:space="preserve"> o </w:t>
      </w:r>
      <w:r w:rsidRPr="00F12C48">
        <w:rPr>
          <w:noProof/>
          <w:u w:val="single"/>
        </w:rPr>
        <w:t>vykazovaní informácií</w:t>
      </w:r>
      <w:r w:rsidR="00F12C48">
        <w:rPr>
          <w:noProof/>
          <w:u w:val="single"/>
        </w:rPr>
        <w:t xml:space="preserve"> o </w:t>
      </w:r>
      <w:r w:rsidRPr="00F12C48">
        <w:rPr>
          <w:noProof/>
          <w:u w:val="single"/>
        </w:rPr>
        <w:t>udržateľnosti podnikov</w:t>
      </w:r>
    </w:p>
    <w:p w14:paraId="27B33B55" w14:textId="07DE6DB4" w:rsidR="00F12C48" w:rsidRDefault="005A6B99" w:rsidP="005A6B99">
      <w:pPr>
        <w:pStyle w:val="paragraph"/>
        <w:spacing w:before="0" w:beforeAutospacing="0" w:after="0" w:afterAutospacing="0"/>
        <w:jc w:val="both"/>
        <w:textAlignment w:val="baseline"/>
        <w:rPr>
          <w:rStyle w:val="normaltextrun"/>
          <w:noProof/>
          <w:color w:val="000000"/>
          <w:shd w:val="clear" w:color="auto" w:fill="FFFFFF"/>
        </w:rPr>
      </w:pPr>
      <w:r w:rsidRPr="00F12C48">
        <w:rPr>
          <w:rStyle w:val="normaltextrun"/>
          <w:noProof/>
          <w:color w:val="000000"/>
          <w:shd w:val="clear" w:color="auto" w:fill="FFFFFF"/>
        </w:rPr>
        <w:t>Výzva Európskej komisie na predloženie dôkazov</w:t>
      </w:r>
      <w:r w:rsidR="00F12C48">
        <w:rPr>
          <w:rStyle w:val="normaltextrun"/>
          <w:noProof/>
          <w:color w:val="000000"/>
          <w:shd w:val="clear" w:color="auto" w:fill="FFFFFF"/>
        </w:rPr>
        <w:t xml:space="preserve"> o </w:t>
      </w:r>
      <w:r w:rsidRPr="00F12C48">
        <w:rPr>
          <w:rStyle w:val="normaltextrun"/>
          <w:noProof/>
          <w:color w:val="000000"/>
          <w:shd w:val="clear" w:color="auto" w:fill="FFFFFF"/>
        </w:rPr>
        <w:t>racionalizácii požiadaviek na vykazovanie</w:t>
      </w:r>
      <w:r w:rsidRPr="00F12C48">
        <w:rPr>
          <w:noProof/>
          <w:color w:val="000000"/>
          <w:shd w:val="clear" w:color="auto" w:fill="FFFFFF"/>
        </w:rPr>
        <w:t xml:space="preserve"> mala ambíciu získať dôkazy</w:t>
      </w:r>
      <w:r w:rsidR="00F12C48">
        <w:rPr>
          <w:noProof/>
          <w:color w:val="000000"/>
          <w:shd w:val="clear" w:color="auto" w:fill="FFFFFF"/>
        </w:rPr>
        <w:t xml:space="preserve"> a </w:t>
      </w:r>
      <w:r w:rsidRPr="00F12C48">
        <w:rPr>
          <w:noProof/>
          <w:color w:val="000000"/>
          <w:shd w:val="clear" w:color="auto" w:fill="FFFFFF"/>
        </w:rPr>
        <w:t xml:space="preserve">názory týkajúce sa právnych predpisov, ktoré podľa vnímania vytvárajú administratívnu záťaž. Odpovedalo </w:t>
      </w:r>
      <w:r w:rsidRPr="00F12C48">
        <w:rPr>
          <w:rStyle w:val="normaltextrun"/>
          <w:noProof/>
          <w:color w:val="000000"/>
          <w:shd w:val="clear" w:color="auto" w:fill="FFFFFF"/>
        </w:rPr>
        <w:t>na ňu takmer 200 zainteresovaných strán, ktoré</w:t>
      </w:r>
      <w:r w:rsidR="00F12C48">
        <w:rPr>
          <w:rStyle w:val="normaltextrun"/>
          <w:noProof/>
          <w:color w:val="000000"/>
          <w:shd w:val="clear" w:color="auto" w:fill="FFFFFF"/>
        </w:rPr>
        <w:t xml:space="preserve"> v </w:t>
      </w:r>
      <w:r w:rsidRPr="00F12C48">
        <w:rPr>
          <w:rStyle w:val="normaltextrun"/>
          <w:noProof/>
          <w:color w:val="000000"/>
          <w:shd w:val="clear" w:color="auto" w:fill="FFFFFF"/>
        </w:rPr>
        <w:t>prvom rade vyzvali na zjednodušenie vykazovania informácií</w:t>
      </w:r>
      <w:r w:rsidR="00F12C48">
        <w:rPr>
          <w:rStyle w:val="normaltextrun"/>
          <w:noProof/>
          <w:color w:val="000000"/>
          <w:shd w:val="clear" w:color="auto" w:fill="FFFFFF"/>
        </w:rPr>
        <w:t xml:space="preserve"> o </w:t>
      </w:r>
      <w:r w:rsidRPr="00F12C48">
        <w:rPr>
          <w:rStyle w:val="normaltextrun"/>
          <w:noProof/>
          <w:color w:val="000000"/>
          <w:shd w:val="clear" w:color="auto" w:fill="FFFFFF"/>
        </w:rPr>
        <w:t>udržateľnosti, náležitej starostlivosti</w:t>
      </w:r>
      <w:r w:rsidR="00F12C48">
        <w:rPr>
          <w:rStyle w:val="normaltextrun"/>
          <w:noProof/>
          <w:color w:val="000000"/>
          <w:shd w:val="clear" w:color="auto" w:fill="FFFFFF"/>
        </w:rPr>
        <w:t xml:space="preserve"> a </w:t>
      </w:r>
      <w:r w:rsidRPr="00F12C48">
        <w:rPr>
          <w:rStyle w:val="normaltextrun"/>
          <w:noProof/>
          <w:color w:val="000000"/>
          <w:shd w:val="clear" w:color="auto" w:fill="FFFFFF"/>
        </w:rPr>
        <w:t>taxonómie EÚ</w:t>
      </w:r>
      <w:r w:rsidR="00F12C48">
        <w:rPr>
          <w:rStyle w:val="normaltextrun"/>
          <w:noProof/>
          <w:color w:val="000000"/>
          <w:shd w:val="clear" w:color="auto" w:fill="FFFFFF"/>
        </w:rPr>
        <w:t>.</w:t>
      </w:r>
    </w:p>
    <w:p w14:paraId="3A797607" w14:textId="79F0D89F" w:rsidR="005A6B99" w:rsidRPr="00F12C48" w:rsidRDefault="005A6B99" w:rsidP="005A6B99">
      <w:pPr>
        <w:pStyle w:val="paragraph"/>
        <w:spacing w:before="0" w:beforeAutospacing="0" w:after="0" w:afterAutospacing="0"/>
        <w:jc w:val="both"/>
        <w:textAlignment w:val="baseline"/>
        <w:rPr>
          <w:rFonts w:ascii="Segoe UI" w:hAnsi="Segoe UI" w:cs="Segoe UI"/>
          <w:noProof/>
          <w:sz w:val="18"/>
          <w:szCs w:val="18"/>
        </w:rPr>
      </w:pPr>
    </w:p>
    <w:p w14:paraId="3FEC98F4" w14:textId="68110EB2" w:rsidR="00F12C48" w:rsidRDefault="005A6B99" w:rsidP="005A6B99">
      <w:pPr>
        <w:pBdr>
          <w:top w:val="nil"/>
          <w:left w:val="nil"/>
          <w:bottom w:val="nil"/>
          <w:right w:val="nil"/>
          <w:between w:val="nil"/>
          <w:bar w:val="nil"/>
        </w:pBdr>
        <w:spacing w:before="0" w:after="240"/>
        <w:rPr>
          <w:noProof/>
        </w:rPr>
      </w:pPr>
      <w:r w:rsidRPr="00F12C48">
        <w:rPr>
          <w:noProof/>
        </w:rPr>
        <w:t xml:space="preserve">Na </w:t>
      </w:r>
      <w:r w:rsidRPr="00F12C48">
        <w:rPr>
          <w:rStyle w:val="normaltextrun"/>
          <w:noProof/>
        </w:rPr>
        <w:t>stretnutiach</w:t>
      </w:r>
      <w:r w:rsidRPr="00F12C48">
        <w:rPr>
          <w:noProof/>
        </w:rPr>
        <w:t xml:space="preserve"> Európskej komisie</w:t>
      </w:r>
      <w:r w:rsidR="00F12C48">
        <w:rPr>
          <w:noProof/>
        </w:rPr>
        <w:t xml:space="preserve"> s </w:t>
      </w:r>
      <w:r w:rsidRPr="00F12C48">
        <w:rPr>
          <w:noProof/>
        </w:rPr>
        <w:t>európskym priemyslom, sociálnymi partnermi</w:t>
      </w:r>
      <w:r w:rsidR="00F12C48">
        <w:rPr>
          <w:noProof/>
        </w:rPr>
        <w:t xml:space="preserve"> a </w:t>
      </w:r>
      <w:r w:rsidRPr="00F12C48">
        <w:rPr>
          <w:noProof/>
        </w:rPr>
        <w:t>občianskou spoločnosťou začiatkom februára 2025 zainteresované strany vyjadrili podporu všeobecným cieľom smerníc CSRD</w:t>
      </w:r>
      <w:r w:rsidR="00F12C48">
        <w:rPr>
          <w:noProof/>
        </w:rPr>
        <w:t xml:space="preserve"> a </w:t>
      </w:r>
      <w:r w:rsidRPr="00F12C48">
        <w:rPr>
          <w:noProof/>
        </w:rPr>
        <w:t>CSDDD, no zdôraznili potrebu zjednodušenia</w:t>
      </w:r>
      <w:r w:rsidR="00F12C48">
        <w:rPr>
          <w:noProof/>
        </w:rPr>
        <w:t xml:space="preserve"> a </w:t>
      </w:r>
      <w:r w:rsidRPr="00F12C48">
        <w:rPr>
          <w:noProof/>
        </w:rPr>
        <w:t>harmonizácie pri ich vykonávaní</w:t>
      </w:r>
      <w:r w:rsidR="00F12C48">
        <w:rPr>
          <w:noProof/>
        </w:rPr>
        <w:t>.</w:t>
      </w:r>
    </w:p>
    <w:p w14:paraId="137740A4" w14:textId="5ABEBB39" w:rsidR="00F12C48" w:rsidRDefault="00083FC5" w:rsidP="005A6B99">
      <w:pPr>
        <w:pBdr>
          <w:top w:val="nil"/>
          <w:left w:val="nil"/>
          <w:bottom w:val="nil"/>
          <w:right w:val="nil"/>
          <w:between w:val="nil"/>
          <w:bar w:val="nil"/>
        </w:pBdr>
        <w:spacing w:before="0" w:after="240"/>
        <w:rPr>
          <w:noProof/>
        </w:rPr>
      </w:pPr>
      <w:r w:rsidRPr="00F12C48">
        <w:rPr>
          <w:noProof/>
        </w:rPr>
        <w:lastRenderedPageBreak/>
        <w:t>Niektoré zainteresované strany, najmä obchodné</w:t>
      </w:r>
      <w:r w:rsidR="00F12C48">
        <w:rPr>
          <w:noProof/>
        </w:rPr>
        <w:t xml:space="preserve"> a </w:t>
      </w:r>
      <w:r w:rsidRPr="00F12C48">
        <w:rPr>
          <w:noProof/>
        </w:rPr>
        <w:t>priemyselné skupiny, navrhli, aby sa uplatňovanie existujúcich právnych predpisov pozastavilo</w:t>
      </w:r>
      <w:r w:rsidR="00F12C48">
        <w:rPr>
          <w:noProof/>
        </w:rPr>
        <w:t xml:space="preserve"> s </w:t>
      </w:r>
      <w:r w:rsidRPr="00F12C48">
        <w:rPr>
          <w:noProof/>
        </w:rPr>
        <w:t>cieľom zamerať sa na zjednodušenie. Tvrdili, že odloženie požiadaviek na vykazovanie informácií podľa smernice CSRD by Komisii poskytlo príležitosť zjednodušiť rámec</w:t>
      </w:r>
      <w:r w:rsidR="00F12C48">
        <w:rPr>
          <w:noProof/>
        </w:rPr>
        <w:t xml:space="preserve"> a </w:t>
      </w:r>
      <w:r w:rsidRPr="00F12C48">
        <w:rPr>
          <w:noProof/>
        </w:rPr>
        <w:t>zároveň poskytnúť spoločnostiam viac času na prípravu na akékoľvek nadchádzajúce zmeny</w:t>
      </w:r>
      <w:r w:rsidR="00F12C48">
        <w:rPr>
          <w:noProof/>
        </w:rPr>
        <w:t>.</w:t>
      </w:r>
    </w:p>
    <w:p w14:paraId="1F83BAB3" w14:textId="4340B484" w:rsidR="00083FC5" w:rsidRPr="00F12C48" w:rsidRDefault="00083FC5" w:rsidP="001275AC">
      <w:pPr>
        <w:pBdr>
          <w:top w:val="nil"/>
          <w:left w:val="nil"/>
          <w:bottom w:val="nil"/>
          <w:right w:val="nil"/>
          <w:between w:val="nil"/>
          <w:bar w:val="nil"/>
        </w:pBdr>
        <w:spacing w:before="0" w:after="240"/>
        <w:rPr>
          <w:noProof/>
        </w:rPr>
      </w:pPr>
      <w:r w:rsidRPr="00F12C48">
        <w:rPr>
          <w:noProof/>
        </w:rPr>
        <w:t>Iné zainteresované strany, najmä skupiny občianskej spoločnosti, považovali za veľmi prínosné príslušné pravidlá zachovať</w:t>
      </w:r>
      <w:r w:rsidR="00F12C48">
        <w:rPr>
          <w:noProof/>
        </w:rPr>
        <w:t xml:space="preserve"> a </w:t>
      </w:r>
      <w:r w:rsidRPr="00F12C48">
        <w:rPr>
          <w:noProof/>
        </w:rPr>
        <w:t>zdôraznili význam právnej istoty</w:t>
      </w:r>
      <w:r w:rsidR="00F12C48">
        <w:rPr>
          <w:noProof/>
        </w:rPr>
        <w:t xml:space="preserve"> a </w:t>
      </w:r>
      <w:r w:rsidRPr="00F12C48">
        <w:rPr>
          <w:noProof/>
        </w:rPr>
        <w:t>regulačnej stability pre spoločnosti, pričom sa zasadili za zachovanie cieľov Európskej zelenej dohody</w:t>
      </w:r>
      <w:r w:rsidR="00F12C48">
        <w:rPr>
          <w:noProof/>
        </w:rPr>
        <w:t xml:space="preserve"> a </w:t>
      </w:r>
      <w:r w:rsidRPr="00F12C48">
        <w:rPr>
          <w:noProof/>
        </w:rPr>
        <w:t>akčného plánu</w:t>
      </w:r>
      <w:r w:rsidR="00F12C48">
        <w:rPr>
          <w:noProof/>
        </w:rPr>
        <w:t xml:space="preserve"> o </w:t>
      </w:r>
      <w:r w:rsidRPr="00F12C48">
        <w:rPr>
          <w:noProof/>
        </w:rPr>
        <w:t>udržateľnom financovaní. Takisto zdôraznili, že namiesto odloženia alebo zmeny existujúcich pravidiel by sa vykonávacie usmernenia mali použiť na objasnenie</w:t>
      </w:r>
      <w:r w:rsidR="00F12C48">
        <w:rPr>
          <w:noProof/>
        </w:rPr>
        <w:t xml:space="preserve"> a </w:t>
      </w:r>
      <w:r w:rsidRPr="00F12C48">
        <w:rPr>
          <w:noProof/>
        </w:rPr>
        <w:t>zjednodušenie určitých častí rámca vykazovania informácií</w:t>
      </w:r>
      <w:r w:rsidR="00F12C48">
        <w:rPr>
          <w:noProof/>
        </w:rPr>
        <w:t xml:space="preserve"> o </w:t>
      </w:r>
      <w:r w:rsidRPr="00F12C48">
        <w:rPr>
          <w:noProof/>
        </w:rPr>
        <w:t>udržateľnosti.</w:t>
      </w:r>
    </w:p>
    <w:p w14:paraId="2B905337" w14:textId="5A6071CC" w:rsidR="00F12C48" w:rsidRDefault="00D1796E" w:rsidP="00D1796E">
      <w:pPr>
        <w:pStyle w:val="paragraph"/>
        <w:spacing w:before="0" w:beforeAutospacing="0" w:after="0" w:afterAutospacing="0"/>
        <w:jc w:val="both"/>
        <w:textAlignment w:val="baseline"/>
        <w:rPr>
          <w:rStyle w:val="normaltextrun"/>
          <w:noProof/>
          <w:color w:val="000000"/>
          <w:shd w:val="clear" w:color="auto" w:fill="FFFFFF"/>
        </w:rPr>
      </w:pPr>
      <w:r w:rsidRPr="00F12C48">
        <w:rPr>
          <w:rStyle w:val="normaltextrun"/>
          <w:noProof/>
          <w:color w:val="000000"/>
          <w:shd w:val="clear" w:color="auto" w:fill="FFFFFF"/>
        </w:rPr>
        <w:t>Potreba zjednodušenia opätovne zaznela aj</w:t>
      </w:r>
      <w:r w:rsidR="00F12C48">
        <w:rPr>
          <w:rStyle w:val="normaltextrun"/>
          <w:noProof/>
          <w:color w:val="000000"/>
          <w:shd w:val="clear" w:color="auto" w:fill="FFFFFF"/>
        </w:rPr>
        <w:t xml:space="preserve"> v </w:t>
      </w:r>
      <w:r w:rsidRPr="00F12C48">
        <w:rPr>
          <w:rStyle w:val="normaltextrun"/>
          <w:noProof/>
          <w:color w:val="000000"/>
          <w:shd w:val="clear" w:color="auto" w:fill="FFFFFF"/>
        </w:rPr>
        <w:t>mnohých ďalších správach, odporúčaniach</w:t>
      </w:r>
      <w:r w:rsidR="00F12C48">
        <w:rPr>
          <w:rStyle w:val="normaltextrun"/>
          <w:noProof/>
          <w:color w:val="000000"/>
          <w:shd w:val="clear" w:color="auto" w:fill="FFFFFF"/>
        </w:rPr>
        <w:t xml:space="preserve"> a </w:t>
      </w:r>
      <w:r w:rsidRPr="00F12C48">
        <w:rPr>
          <w:rStyle w:val="normaltextrun"/>
          <w:noProof/>
          <w:color w:val="000000"/>
          <w:shd w:val="clear" w:color="auto" w:fill="FFFFFF"/>
        </w:rPr>
        <w:t>názoroch zainteresovaných strán</w:t>
      </w:r>
      <w:r w:rsidR="00F12C48">
        <w:rPr>
          <w:rStyle w:val="normaltextrun"/>
          <w:noProof/>
          <w:color w:val="000000"/>
          <w:shd w:val="clear" w:color="auto" w:fill="FFFFFF"/>
        </w:rPr>
        <w:t xml:space="preserve"> z </w:t>
      </w:r>
      <w:r w:rsidRPr="00F12C48">
        <w:rPr>
          <w:rStyle w:val="normaltextrun"/>
          <w:noProof/>
          <w:color w:val="000000"/>
          <w:shd w:val="clear" w:color="auto" w:fill="FFFFFF"/>
        </w:rPr>
        <w:t>radov podnikov finančného aj nefinančného sektora,</w:t>
      </w:r>
      <w:r w:rsidR="00F12C48">
        <w:rPr>
          <w:rStyle w:val="normaltextrun"/>
          <w:noProof/>
          <w:color w:val="000000"/>
          <w:shd w:val="clear" w:color="auto" w:fill="FFFFFF"/>
        </w:rPr>
        <w:t xml:space="preserve"> z </w:t>
      </w:r>
      <w:r w:rsidRPr="00F12C48">
        <w:rPr>
          <w:rStyle w:val="normaltextrun"/>
          <w:noProof/>
          <w:color w:val="000000"/>
          <w:shd w:val="clear" w:color="auto" w:fill="FFFFFF"/>
        </w:rPr>
        <w:t>ktorých mnohé zdôrazňujú význam zníženia zložitosti</w:t>
      </w:r>
      <w:r w:rsidR="00F12C48">
        <w:rPr>
          <w:rStyle w:val="normaltextrun"/>
          <w:noProof/>
          <w:color w:val="000000"/>
          <w:shd w:val="clear" w:color="auto" w:fill="FFFFFF"/>
        </w:rPr>
        <w:t xml:space="preserve"> a </w:t>
      </w:r>
      <w:r w:rsidRPr="00F12C48">
        <w:rPr>
          <w:rStyle w:val="normaltextrun"/>
          <w:noProof/>
          <w:color w:val="000000"/>
          <w:shd w:val="clear" w:color="auto" w:fill="FFFFFF"/>
        </w:rPr>
        <w:t>administratívnej záťaže</w:t>
      </w:r>
      <w:r w:rsidR="00F12C48">
        <w:rPr>
          <w:rStyle w:val="normaltextrun"/>
          <w:noProof/>
          <w:color w:val="000000"/>
          <w:shd w:val="clear" w:color="auto" w:fill="FFFFFF"/>
        </w:rPr>
        <w:t xml:space="preserve"> a </w:t>
      </w:r>
      <w:r w:rsidRPr="00F12C48">
        <w:rPr>
          <w:rStyle w:val="normaltextrun"/>
          <w:noProof/>
          <w:color w:val="000000"/>
          <w:shd w:val="clear" w:color="auto" w:fill="FFFFFF"/>
        </w:rPr>
        <w:t>ktoré boli podkladom pre opatrenia na zníženie zaťaženia opísané</w:t>
      </w:r>
      <w:r w:rsidR="00F12C48">
        <w:rPr>
          <w:rStyle w:val="normaltextrun"/>
          <w:noProof/>
          <w:color w:val="000000"/>
          <w:shd w:val="clear" w:color="auto" w:fill="FFFFFF"/>
        </w:rPr>
        <w:t xml:space="preserve"> v </w:t>
      </w:r>
      <w:r w:rsidRPr="00F12C48">
        <w:rPr>
          <w:rStyle w:val="normaltextrun"/>
          <w:noProof/>
          <w:color w:val="000000"/>
          <w:shd w:val="clear" w:color="auto" w:fill="FFFFFF"/>
        </w:rPr>
        <w:t>tomto návrhu</w:t>
      </w:r>
      <w:r w:rsidR="00F12C48">
        <w:rPr>
          <w:rStyle w:val="normaltextrun"/>
          <w:noProof/>
          <w:color w:val="000000"/>
          <w:shd w:val="clear" w:color="auto" w:fill="FFFFFF"/>
        </w:rPr>
        <w:t>.</w:t>
      </w:r>
    </w:p>
    <w:p w14:paraId="201E04FD" w14:textId="797228B3" w:rsidR="00D1796E" w:rsidRPr="00F12C48" w:rsidRDefault="00D1796E" w:rsidP="00D1796E">
      <w:pPr>
        <w:pStyle w:val="paragraph"/>
        <w:spacing w:before="0" w:beforeAutospacing="0" w:after="0" w:afterAutospacing="0"/>
        <w:jc w:val="both"/>
        <w:textAlignment w:val="baseline"/>
        <w:rPr>
          <w:rFonts w:ascii="Segoe UI" w:hAnsi="Segoe UI" w:cs="Segoe UI"/>
          <w:noProof/>
          <w:sz w:val="18"/>
          <w:szCs w:val="18"/>
        </w:rPr>
      </w:pPr>
    </w:p>
    <w:p w14:paraId="3AB21881" w14:textId="04CE1D2C" w:rsidR="001275AC" w:rsidRPr="00F12C48" w:rsidRDefault="001275AC" w:rsidP="001275AC">
      <w:pPr>
        <w:pBdr>
          <w:top w:val="nil"/>
          <w:left w:val="nil"/>
          <w:bottom w:val="nil"/>
          <w:right w:val="nil"/>
          <w:between w:val="nil"/>
          <w:bar w:val="nil"/>
        </w:pBdr>
        <w:spacing w:before="0" w:after="240"/>
        <w:rPr>
          <w:rFonts w:eastAsia="Arial Unicode MS"/>
          <w:noProof/>
          <w:u w:val="single"/>
        </w:rPr>
      </w:pPr>
      <w:r w:rsidRPr="00F12C48">
        <w:rPr>
          <w:noProof/>
          <w:u w:val="single"/>
        </w:rPr>
        <w:t>Smernica</w:t>
      </w:r>
      <w:r w:rsidR="00F12C48">
        <w:rPr>
          <w:noProof/>
          <w:u w:val="single"/>
        </w:rPr>
        <w:t xml:space="preserve"> o </w:t>
      </w:r>
      <w:r w:rsidRPr="00F12C48">
        <w:rPr>
          <w:noProof/>
          <w:u w:val="single"/>
        </w:rPr>
        <w:t>náležitej starostlivosti podnikov</w:t>
      </w:r>
      <w:r w:rsidR="00F12C48">
        <w:rPr>
          <w:noProof/>
          <w:u w:val="single"/>
        </w:rPr>
        <w:t xml:space="preserve"> v </w:t>
      </w:r>
      <w:r w:rsidRPr="00F12C48">
        <w:rPr>
          <w:noProof/>
          <w:u w:val="single"/>
        </w:rPr>
        <w:t>oblasti udržateľnosti</w:t>
      </w:r>
    </w:p>
    <w:p w14:paraId="5D62E859" w14:textId="78C30796" w:rsidR="004B0309" w:rsidRPr="00F12C48" w:rsidRDefault="004B0309" w:rsidP="004B0309">
      <w:pPr>
        <w:rPr>
          <w:noProof/>
        </w:rPr>
      </w:pPr>
      <w:r w:rsidRPr="00F12C48">
        <w:rPr>
          <w:noProof/>
        </w:rPr>
        <w:t>Návrh vychádza</w:t>
      </w:r>
      <w:r w:rsidR="00F12C48">
        <w:rPr>
          <w:noProof/>
        </w:rPr>
        <w:t xml:space="preserve"> z </w:t>
      </w:r>
      <w:r w:rsidRPr="00F12C48">
        <w:rPr>
          <w:noProof/>
        </w:rPr>
        <w:t>konzultácií</w:t>
      </w:r>
      <w:r w:rsidR="00F12C48">
        <w:rPr>
          <w:noProof/>
        </w:rPr>
        <w:t xml:space="preserve"> s </w:t>
      </w:r>
      <w:r w:rsidRPr="00F12C48">
        <w:rPr>
          <w:noProof/>
        </w:rPr>
        <w:t>rôznymi zainteresovanými stranami vrátane podnikov, obchodných združení</w:t>
      </w:r>
      <w:r w:rsidR="00F12C48">
        <w:rPr>
          <w:noProof/>
        </w:rPr>
        <w:t xml:space="preserve"> a </w:t>
      </w:r>
      <w:r w:rsidRPr="00F12C48">
        <w:rPr>
          <w:noProof/>
        </w:rPr>
        <w:t>organizácií občianskej spoločnosti, ako aj</w:t>
      </w:r>
      <w:r w:rsidR="00F12C48">
        <w:rPr>
          <w:noProof/>
        </w:rPr>
        <w:t xml:space="preserve"> z </w:t>
      </w:r>
      <w:r w:rsidRPr="00F12C48">
        <w:rPr>
          <w:noProof/>
        </w:rPr>
        <w:t>ďalších kontaktov so zainteresovanými stranami</w:t>
      </w:r>
      <w:r w:rsidR="00F12C48">
        <w:rPr>
          <w:noProof/>
        </w:rPr>
        <w:t xml:space="preserve"> a </w:t>
      </w:r>
      <w:r w:rsidRPr="00F12C48">
        <w:rPr>
          <w:noProof/>
        </w:rPr>
        <w:t>príspevkov od nich. Patrí sem najmä dvojdňové podujatie so zainteresovanými stranami, ktoré Komisii umožnilo vypočuť si odborníkov</w:t>
      </w:r>
      <w:r w:rsidR="00F12C48">
        <w:rPr>
          <w:noProof/>
        </w:rPr>
        <w:t xml:space="preserve"> z </w:t>
      </w:r>
      <w:r w:rsidRPr="00F12C48">
        <w:rPr>
          <w:noProof/>
        </w:rPr>
        <w:t>praxe</w:t>
      </w:r>
      <w:r w:rsidR="00F12C48">
        <w:rPr>
          <w:noProof/>
        </w:rPr>
        <w:t xml:space="preserve"> o </w:t>
      </w:r>
      <w:r w:rsidRPr="00F12C48">
        <w:rPr>
          <w:noProof/>
        </w:rPr>
        <w:t>tom, aké nedostatky vidia</w:t>
      </w:r>
      <w:r w:rsidR="00F12C48">
        <w:rPr>
          <w:noProof/>
        </w:rPr>
        <w:t xml:space="preserve"> v </w:t>
      </w:r>
      <w:r w:rsidRPr="00F12C48">
        <w:rPr>
          <w:noProof/>
        </w:rPr>
        <w:t>súčasnom legislatívnom rámci</w:t>
      </w:r>
      <w:r w:rsidR="00F12C48">
        <w:rPr>
          <w:noProof/>
        </w:rPr>
        <w:t xml:space="preserve"> a </w:t>
      </w:r>
      <w:r w:rsidRPr="00F12C48">
        <w:rPr>
          <w:noProof/>
        </w:rPr>
        <w:t>akú formu by mohli mať ich potenciálne riešenia. Zatiaľ čo niektoré zainteresované strany vyzvali na ďalekosiahle zmeny</w:t>
      </w:r>
      <w:r w:rsidR="00F12C48">
        <w:rPr>
          <w:noProof/>
        </w:rPr>
        <w:t xml:space="preserve"> a </w:t>
      </w:r>
      <w:r w:rsidRPr="00F12C48">
        <w:rPr>
          <w:noProof/>
        </w:rPr>
        <w:t>odklady, iné zdôraznili potrebu regulačnej istoty</w:t>
      </w:r>
      <w:r w:rsidR="00F12C48">
        <w:rPr>
          <w:noProof/>
        </w:rPr>
        <w:t xml:space="preserve"> a </w:t>
      </w:r>
      <w:r w:rsidRPr="00F12C48">
        <w:rPr>
          <w:noProof/>
        </w:rPr>
        <w:t>vyjadrili nesúhlas</w:t>
      </w:r>
      <w:r w:rsidR="00F12C48">
        <w:rPr>
          <w:noProof/>
        </w:rPr>
        <w:t xml:space="preserve"> s </w:t>
      </w:r>
      <w:r w:rsidRPr="00F12C48">
        <w:rPr>
          <w:noProof/>
        </w:rPr>
        <w:t>opätovným prepracovaním smernice</w:t>
      </w:r>
      <w:r w:rsidR="00F12C48">
        <w:rPr>
          <w:noProof/>
        </w:rPr>
        <w:t xml:space="preserve"> a </w:t>
      </w:r>
      <w:r w:rsidRPr="00F12C48">
        <w:rPr>
          <w:noProof/>
        </w:rPr>
        <w:t>namiesto toho sa zamerali na jej vykonávanie. Cieľom tohto návrhu spolu so súbežným návrhom na zjednodušenie je dosiahnuť rovnováhu medzi týmito perspektívami tak, že sa zachová integrita smernice CSDDD</w:t>
      </w:r>
      <w:r w:rsidR="00F12C48">
        <w:rPr>
          <w:noProof/>
        </w:rPr>
        <w:t xml:space="preserve"> a </w:t>
      </w:r>
      <w:r w:rsidRPr="00F12C48">
        <w:rPr>
          <w:noProof/>
        </w:rPr>
        <w:t>zároveň sa zavedú zmeny</w:t>
      </w:r>
      <w:r w:rsidR="00F12C48">
        <w:rPr>
          <w:noProof/>
        </w:rPr>
        <w:t xml:space="preserve"> z </w:t>
      </w:r>
      <w:r w:rsidRPr="00F12C48">
        <w:rPr>
          <w:noProof/>
        </w:rPr>
        <w:t>cieľom zjednodušiť</w:t>
      </w:r>
      <w:r w:rsidR="00F12C48">
        <w:rPr>
          <w:noProof/>
        </w:rPr>
        <w:t xml:space="preserve"> a </w:t>
      </w:r>
      <w:r w:rsidRPr="00F12C48">
        <w:rPr>
          <w:noProof/>
        </w:rPr>
        <w:t>zefektívniť smernicu.</w:t>
      </w:r>
    </w:p>
    <w:p w14:paraId="36789638" w14:textId="3EF42C1F" w:rsidR="006C7F87" w:rsidRPr="00F12C48" w:rsidRDefault="006C7F87" w:rsidP="0094068A">
      <w:pPr>
        <w:pStyle w:val="ManualHeading2"/>
        <w:rPr>
          <w:rFonts w:eastAsia="Arial Unicode MS"/>
          <w:noProof/>
          <w:u w:color="000000"/>
          <w:bdr w:val="nil"/>
        </w:rPr>
      </w:pPr>
      <w:r w:rsidRPr="00F12C48">
        <w:rPr>
          <w:noProof/>
          <w:u w:color="000000"/>
          <w:bdr w:val="nil"/>
        </w:rPr>
        <w:t>•</w:t>
      </w:r>
      <w:r w:rsidRPr="00F12C48">
        <w:rPr>
          <w:noProof/>
        </w:rPr>
        <w:tab/>
      </w:r>
      <w:r w:rsidRPr="00F12C48">
        <w:rPr>
          <w:noProof/>
          <w:u w:color="000000"/>
          <w:bdr w:val="nil"/>
        </w:rPr>
        <w:t>Získavanie</w:t>
      </w:r>
      <w:r w:rsidR="00F12C48">
        <w:rPr>
          <w:noProof/>
          <w:u w:color="000000"/>
          <w:bdr w:val="nil"/>
        </w:rPr>
        <w:t xml:space="preserve"> a </w:t>
      </w:r>
      <w:r w:rsidRPr="00F12C48">
        <w:rPr>
          <w:noProof/>
          <w:u w:color="000000"/>
          <w:bdr w:val="nil"/>
        </w:rPr>
        <w:t>využívanie expertízy</w:t>
      </w:r>
    </w:p>
    <w:p w14:paraId="11CE83BA" w14:textId="77777777" w:rsidR="00F12C48" w:rsidRDefault="0077312E" w:rsidP="0094068A">
      <w:pPr>
        <w:pBdr>
          <w:top w:val="nil"/>
          <w:left w:val="nil"/>
          <w:bottom w:val="nil"/>
          <w:right w:val="nil"/>
          <w:between w:val="nil"/>
          <w:bar w:val="nil"/>
        </w:pBdr>
        <w:spacing w:before="0" w:after="240"/>
        <w:rPr>
          <w:noProof/>
        </w:rPr>
      </w:pPr>
      <w:r w:rsidRPr="00F12C48">
        <w:rPr>
          <w:noProof/>
        </w:rPr>
        <w:t>Neuplatňuje sa</w:t>
      </w:r>
      <w:r w:rsidR="00F12C48">
        <w:rPr>
          <w:noProof/>
        </w:rPr>
        <w:t>.</w:t>
      </w:r>
    </w:p>
    <w:p w14:paraId="4C434194" w14:textId="60F77EF6" w:rsidR="006C7F87" w:rsidRPr="00F12C48" w:rsidRDefault="006C7F87" w:rsidP="0094068A">
      <w:pPr>
        <w:pStyle w:val="ManualHeading2"/>
        <w:rPr>
          <w:rFonts w:eastAsia="Arial Unicode MS"/>
          <w:noProof/>
          <w:u w:color="000000"/>
          <w:bdr w:val="nil"/>
        </w:rPr>
      </w:pPr>
      <w:r w:rsidRPr="00F12C48">
        <w:rPr>
          <w:noProof/>
          <w:u w:color="000000"/>
          <w:bdr w:val="nil"/>
        </w:rPr>
        <w:t>•</w:t>
      </w:r>
      <w:r w:rsidRPr="00F12C48">
        <w:rPr>
          <w:noProof/>
        </w:rPr>
        <w:tab/>
      </w:r>
      <w:r w:rsidRPr="00F12C48">
        <w:rPr>
          <w:noProof/>
          <w:u w:color="000000"/>
          <w:bdr w:val="nil"/>
        </w:rPr>
        <w:t>Posúdenie vplyvu</w:t>
      </w:r>
    </w:p>
    <w:p w14:paraId="3E1D7AE6" w14:textId="77777777" w:rsidR="00F12C48" w:rsidRDefault="00E649C0" w:rsidP="0094068A">
      <w:pPr>
        <w:pBdr>
          <w:top w:val="nil"/>
          <w:left w:val="nil"/>
          <w:bottom w:val="nil"/>
          <w:right w:val="nil"/>
          <w:between w:val="nil"/>
          <w:bar w:val="nil"/>
        </w:pBdr>
        <w:spacing w:before="0" w:after="240"/>
        <w:rPr>
          <w:noProof/>
        </w:rPr>
      </w:pPr>
      <w:r w:rsidRPr="00F12C48">
        <w:rPr>
          <w:noProof/>
        </w:rPr>
        <w:t>K tomuto návrhu je pripojený pracovný dokument útvarov Komisie, ktorý obsahuje analýzu vplyvov navrhovaných opatrení. Vzhľadom na naliehavú potrebu predložiť návrhy na riešenie zistených problémov nebolo možné vypracovať úplné posúdenie vplyvu</w:t>
      </w:r>
      <w:r w:rsidR="00F12C48">
        <w:rPr>
          <w:noProof/>
        </w:rPr>
        <w:t>.</w:t>
      </w:r>
    </w:p>
    <w:p w14:paraId="2E797997" w14:textId="0F9524D4" w:rsidR="006C7F87" w:rsidRPr="00F12C48" w:rsidRDefault="006C7F87" w:rsidP="0094068A">
      <w:pPr>
        <w:pStyle w:val="ManualHeading2"/>
        <w:rPr>
          <w:rFonts w:eastAsia="Arial Unicode MS"/>
          <w:noProof/>
          <w:u w:color="000000"/>
          <w:bdr w:val="nil"/>
        </w:rPr>
      </w:pPr>
      <w:r w:rsidRPr="00F12C48">
        <w:rPr>
          <w:noProof/>
          <w:u w:color="000000"/>
          <w:bdr w:val="nil"/>
        </w:rPr>
        <w:t>•</w:t>
      </w:r>
      <w:r w:rsidRPr="00F12C48">
        <w:rPr>
          <w:noProof/>
        </w:rPr>
        <w:tab/>
      </w:r>
      <w:r w:rsidRPr="00F12C48">
        <w:rPr>
          <w:noProof/>
          <w:u w:color="000000"/>
          <w:bdr w:val="nil"/>
        </w:rPr>
        <w:t>Regulačná vhodnosť</w:t>
      </w:r>
      <w:r w:rsidR="00F12C48">
        <w:rPr>
          <w:noProof/>
          <w:u w:color="000000"/>
          <w:bdr w:val="nil"/>
        </w:rPr>
        <w:t xml:space="preserve"> a </w:t>
      </w:r>
      <w:r w:rsidRPr="00F12C48">
        <w:rPr>
          <w:noProof/>
          <w:u w:color="000000"/>
          <w:bdr w:val="nil"/>
        </w:rPr>
        <w:t>zjednodušenie</w:t>
      </w:r>
    </w:p>
    <w:p w14:paraId="053A533A" w14:textId="5CD10EBE" w:rsidR="006C7F87" w:rsidRPr="00F12C48" w:rsidRDefault="00645D12" w:rsidP="0094068A">
      <w:pPr>
        <w:pBdr>
          <w:top w:val="nil"/>
          <w:left w:val="nil"/>
          <w:bottom w:val="nil"/>
          <w:right w:val="nil"/>
          <w:between w:val="nil"/>
          <w:bar w:val="nil"/>
        </w:pBdr>
        <w:spacing w:before="0" w:after="240"/>
        <w:rPr>
          <w:rFonts w:eastAsia="Arial Unicode MS"/>
          <w:noProof/>
        </w:rPr>
      </w:pPr>
      <w:r w:rsidRPr="00F12C48">
        <w:rPr>
          <w:noProof/>
        </w:rPr>
        <w:t>Výslovným cieľom tohto návrhu je uľahčiť výrazné zjednodušenie režimu vykazovania informácií</w:t>
      </w:r>
      <w:r w:rsidR="00F12C48">
        <w:rPr>
          <w:noProof/>
        </w:rPr>
        <w:t xml:space="preserve"> o </w:t>
      </w:r>
      <w:r w:rsidRPr="00F12C48">
        <w:rPr>
          <w:noProof/>
        </w:rPr>
        <w:t>udržateľnosti.</w:t>
      </w:r>
    </w:p>
    <w:p w14:paraId="2997827B" w14:textId="77777777" w:rsidR="006C7F87" w:rsidRPr="00F12C48" w:rsidRDefault="006C7F87" w:rsidP="0094068A">
      <w:pPr>
        <w:pStyle w:val="ManualHeading2"/>
        <w:rPr>
          <w:rFonts w:eastAsia="Arial Unicode MS"/>
          <w:noProof/>
          <w:u w:color="000000"/>
          <w:bdr w:val="nil"/>
        </w:rPr>
      </w:pPr>
      <w:r w:rsidRPr="00F12C48">
        <w:rPr>
          <w:noProof/>
          <w:u w:color="000000"/>
          <w:bdr w:val="nil"/>
        </w:rPr>
        <w:t>•</w:t>
      </w:r>
      <w:r w:rsidRPr="00F12C48">
        <w:rPr>
          <w:noProof/>
        </w:rPr>
        <w:tab/>
      </w:r>
      <w:r w:rsidRPr="00F12C48">
        <w:rPr>
          <w:noProof/>
          <w:u w:color="000000"/>
          <w:bdr w:val="nil"/>
        </w:rPr>
        <w:t>Základné práva</w:t>
      </w:r>
    </w:p>
    <w:p w14:paraId="34757B2E" w14:textId="4DE67DB0" w:rsidR="007730D3" w:rsidRPr="00F12C48" w:rsidRDefault="007730D3" w:rsidP="007730D3">
      <w:pPr>
        <w:pBdr>
          <w:top w:val="nil"/>
          <w:left w:val="nil"/>
          <w:bottom w:val="nil"/>
          <w:right w:val="nil"/>
          <w:between w:val="nil"/>
          <w:bar w:val="nil"/>
        </w:pBdr>
        <w:spacing w:before="0" w:after="240"/>
        <w:rPr>
          <w:noProof/>
          <w:u w:val="single"/>
        </w:rPr>
      </w:pPr>
      <w:r w:rsidRPr="00F12C48">
        <w:rPr>
          <w:noProof/>
          <w:u w:val="single"/>
        </w:rPr>
        <w:t>Smernica</w:t>
      </w:r>
      <w:r w:rsidR="00F12C48">
        <w:rPr>
          <w:noProof/>
          <w:u w:val="single"/>
        </w:rPr>
        <w:t xml:space="preserve"> o </w:t>
      </w:r>
      <w:r w:rsidRPr="00F12C48">
        <w:rPr>
          <w:noProof/>
          <w:u w:val="single"/>
        </w:rPr>
        <w:t>vykazovaní informácií</w:t>
      </w:r>
      <w:r w:rsidR="00F12C48">
        <w:rPr>
          <w:noProof/>
          <w:u w:val="single"/>
        </w:rPr>
        <w:t xml:space="preserve"> o </w:t>
      </w:r>
      <w:r w:rsidRPr="00F12C48">
        <w:rPr>
          <w:noProof/>
          <w:u w:val="single"/>
        </w:rPr>
        <w:t>udržateľnosti podnikov</w:t>
      </w:r>
    </w:p>
    <w:p w14:paraId="30DDF8FA" w14:textId="7C8A61C1" w:rsidR="00F12C48" w:rsidRDefault="007C2EAE" w:rsidP="007C2EAE">
      <w:pPr>
        <w:pBdr>
          <w:top w:val="nil"/>
          <w:left w:val="nil"/>
          <w:bottom w:val="nil"/>
          <w:right w:val="nil"/>
          <w:between w:val="nil"/>
          <w:bar w:val="nil"/>
        </w:pBdr>
        <w:spacing w:before="0" w:after="240"/>
        <w:rPr>
          <w:noProof/>
        </w:rPr>
      </w:pPr>
      <w:r w:rsidRPr="00F12C48">
        <w:rPr>
          <w:noProof/>
        </w:rPr>
        <w:t>V návrhu sa rešpektujú zakotvené základné práva</w:t>
      </w:r>
      <w:r w:rsidR="00F12C48">
        <w:rPr>
          <w:noProof/>
        </w:rPr>
        <w:t xml:space="preserve"> a </w:t>
      </w:r>
      <w:r w:rsidRPr="00F12C48">
        <w:rPr>
          <w:noProof/>
        </w:rPr>
        <w:t>dodržujú zásady uznané</w:t>
      </w:r>
      <w:r w:rsidR="00F12C48">
        <w:rPr>
          <w:noProof/>
        </w:rPr>
        <w:t xml:space="preserve"> v </w:t>
      </w:r>
      <w:r w:rsidRPr="00F12C48">
        <w:rPr>
          <w:noProof/>
        </w:rPr>
        <w:t>Charte základných práv Európskej únie. Smernica</w:t>
      </w:r>
      <w:r w:rsidR="00F12C48">
        <w:rPr>
          <w:noProof/>
        </w:rPr>
        <w:t xml:space="preserve"> o </w:t>
      </w:r>
      <w:r w:rsidRPr="00F12C48">
        <w:rPr>
          <w:noProof/>
        </w:rPr>
        <w:t>vykazovaní informácií</w:t>
      </w:r>
      <w:r w:rsidR="00F12C48">
        <w:rPr>
          <w:noProof/>
        </w:rPr>
        <w:t xml:space="preserve"> o </w:t>
      </w:r>
      <w:r w:rsidRPr="00F12C48">
        <w:rPr>
          <w:noProof/>
        </w:rPr>
        <w:t xml:space="preserve">udržateľnosti podnikov má nepriamy pozitívny vplyv na základné práva, keďže požiadavky na vykazovanie </w:t>
      </w:r>
      <w:r w:rsidRPr="00F12C48">
        <w:rPr>
          <w:noProof/>
        </w:rPr>
        <w:lastRenderedPageBreak/>
        <w:t>informácií</w:t>
      </w:r>
      <w:r w:rsidR="00F12C48">
        <w:rPr>
          <w:noProof/>
        </w:rPr>
        <w:t xml:space="preserve"> o </w:t>
      </w:r>
      <w:r w:rsidRPr="00F12C48">
        <w:rPr>
          <w:noProof/>
        </w:rPr>
        <w:t>udržateľnosti môžu ovplyvniť správanie podnikov smerom</w:t>
      </w:r>
      <w:r w:rsidR="00F12C48">
        <w:rPr>
          <w:noProof/>
        </w:rPr>
        <w:t xml:space="preserve"> k </w:t>
      </w:r>
      <w:r w:rsidRPr="00F12C48">
        <w:rPr>
          <w:noProof/>
        </w:rPr>
        <w:t>lepšiemu. Slúži na zvýšenie informovanosti spoločností</w:t>
      </w:r>
      <w:r w:rsidR="00F12C48">
        <w:rPr>
          <w:noProof/>
        </w:rPr>
        <w:t xml:space="preserve"> o </w:t>
      </w:r>
      <w:r w:rsidRPr="00F12C48">
        <w:rPr>
          <w:noProof/>
        </w:rPr>
        <w:t>základných právach</w:t>
      </w:r>
      <w:r w:rsidR="00F12C48">
        <w:rPr>
          <w:noProof/>
        </w:rPr>
        <w:t xml:space="preserve"> a </w:t>
      </w:r>
      <w:r w:rsidRPr="00F12C48">
        <w:rPr>
          <w:noProof/>
        </w:rPr>
        <w:t>pozitívne ich ovplyvňuje, pokiaľ ide</w:t>
      </w:r>
      <w:r w:rsidR="00F12C48">
        <w:rPr>
          <w:noProof/>
        </w:rPr>
        <w:t xml:space="preserve"> o </w:t>
      </w:r>
      <w:r w:rsidRPr="00F12C48">
        <w:rPr>
          <w:noProof/>
        </w:rPr>
        <w:t>to, ako identifikujú</w:t>
      </w:r>
      <w:r w:rsidR="00F12C48">
        <w:rPr>
          <w:noProof/>
        </w:rPr>
        <w:t xml:space="preserve"> a </w:t>
      </w:r>
      <w:r w:rsidRPr="00F12C48">
        <w:rPr>
          <w:noProof/>
        </w:rPr>
        <w:t>zvládajú skutočné</w:t>
      </w:r>
      <w:r w:rsidR="00F12C48">
        <w:rPr>
          <w:noProof/>
        </w:rPr>
        <w:t xml:space="preserve"> a </w:t>
      </w:r>
      <w:r w:rsidRPr="00F12C48">
        <w:rPr>
          <w:noProof/>
        </w:rPr>
        <w:t>potenciálne nepriaznivé vplyvy na základné práva. Navrhovaným odkladom by sa takisto oddialili tieto pozitívne vplyvy, pokiaľ ide</w:t>
      </w:r>
      <w:r w:rsidR="00F12C48">
        <w:rPr>
          <w:noProof/>
        </w:rPr>
        <w:t xml:space="preserve"> o </w:t>
      </w:r>
      <w:r w:rsidRPr="00F12C48">
        <w:rPr>
          <w:noProof/>
        </w:rPr>
        <w:t>spoločnosti, ktoré by začali uplatňovať požiadavky na vykazovanie informácií</w:t>
      </w:r>
      <w:r w:rsidR="00F12C48">
        <w:rPr>
          <w:noProof/>
        </w:rPr>
        <w:t xml:space="preserve"> k </w:t>
      </w:r>
      <w:r w:rsidRPr="00F12C48">
        <w:rPr>
          <w:noProof/>
        </w:rPr>
        <w:t>neskoršiemu dátumu. Zníženie zaťaženia takýchto spoločností –</w:t>
      </w:r>
      <w:r w:rsidR="00F12C48">
        <w:rPr>
          <w:noProof/>
        </w:rPr>
        <w:t xml:space="preserve"> a </w:t>
      </w:r>
      <w:r w:rsidRPr="00F12C48">
        <w:rPr>
          <w:noProof/>
        </w:rPr>
        <w:t>najmä spoločností, ktoré by sa vyňali</w:t>
      </w:r>
      <w:r w:rsidR="00F12C48">
        <w:rPr>
          <w:noProof/>
        </w:rPr>
        <w:t xml:space="preserve"> z </w:t>
      </w:r>
      <w:r w:rsidRPr="00F12C48">
        <w:rPr>
          <w:noProof/>
        </w:rPr>
        <w:t>rozsahu pôsobnosti smernice CSRD na základe samostatného návrhu, ktorý Komisia predložila súbežne</w:t>
      </w:r>
      <w:r w:rsidR="00F12C48">
        <w:rPr>
          <w:noProof/>
        </w:rPr>
        <w:t xml:space="preserve"> s </w:t>
      </w:r>
      <w:r w:rsidRPr="00F12C48">
        <w:rPr>
          <w:noProof/>
        </w:rPr>
        <w:t>týmto návrhom – by však malo viesť</w:t>
      </w:r>
      <w:r w:rsidR="00F12C48">
        <w:rPr>
          <w:noProof/>
        </w:rPr>
        <w:t xml:space="preserve"> k </w:t>
      </w:r>
      <w:r w:rsidRPr="00F12C48">
        <w:rPr>
          <w:noProof/>
        </w:rPr>
        <w:t>iným spoločenským prínosom, pokiaľ ide</w:t>
      </w:r>
      <w:r w:rsidR="00F12C48">
        <w:rPr>
          <w:noProof/>
        </w:rPr>
        <w:t xml:space="preserve"> o </w:t>
      </w:r>
      <w:r w:rsidRPr="00F12C48">
        <w:rPr>
          <w:noProof/>
        </w:rPr>
        <w:t>vytváranie bohatstva, zamestnanosť</w:t>
      </w:r>
      <w:r w:rsidR="00F12C48">
        <w:rPr>
          <w:noProof/>
        </w:rPr>
        <w:t xml:space="preserve"> a </w:t>
      </w:r>
      <w:r w:rsidRPr="00F12C48">
        <w:rPr>
          <w:noProof/>
        </w:rPr>
        <w:t>inovácie vrátane inovácií</w:t>
      </w:r>
      <w:r w:rsidR="00F12C48">
        <w:rPr>
          <w:noProof/>
        </w:rPr>
        <w:t xml:space="preserve"> v </w:t>
      </w:r>
      <w:r w:rsidRPr="00F12C48">
        <w:rPr>
          <w:noProof/>
        </w:rPr>
        <w:t>záujme udržateľnosti</w:t>
      </w:r>
      <w:r w:rsidR="00F12C48">
        <w:rPr>
          <w:noProof/>
        </w:rPr>
        <w:t>.</w:t>
      </w:r>
    </w:p>
    <w:p w14:paraId="107A6CCE" w14:textId="643DCD88" w:rsidR="004B79C1" w:rsidRPr="00F12C48" w:rsidRDefault="004B79C1" w:rsidP="004B79C1">
      <w:pPr>
        <w:pBdr>
          <w:top w:val="nil"/>
          <w:left w:val="nil"/>
          <w:bottom w:val="nil"/>
          <w:right w:val="nil"/>
          <w:between w:val="nil"/>
          <w:bar w:val="nil"/>
        </w:pBdr>
        <w:spacing w:before="0" w:after="240"/>
        <w:rPr>
          <w:noProof/>
          <w:u w:val="single"/>
        </w:rPr>
      </w:pPr>
      <w:r w:rsidRPr="00F12C48">
        <w:rPr>
          <w:noProof/>
          <w:u w:val="single"/>
        </w:rPr>
        <w:t>Smernica</w:t>
      </w:r>
      <w:r w:rsidR="00F12C48">
        <w:rPr>
          <w:noProof/>
          <w:u w:val="single"/>
        </w:rPr>
        <w:t xml:space="preserve"> o </w:t>
      </w:r>
      <w:r w:rsidRPr="00F12C48">
        <w:rPr>
          <w:noProof/>
          <w:u w:val="single"/>
        </w:rPr>
        <w:t>náležitej starostlivosti podnikov</w:t>
      </w:r>
      <w:r w:rsidR="00F12C48">
        <w:rPr>
          <w:noProof/>
          <w:u w:val="single"/>
        </w:rPr>
        <w:t xml:space="preserve"> v </w:t>
      </w:r>
      <w:r w:rsidRPr="00F12C48">
        <w:rPr>
          <w:noProof/>
          <w:u w:val="single"/>
        </w:rPr>
        <w:t>oblasti udržateľnosti</w:t>
      </w:r>
    </w:p>
    <w:p w14:paraId="38120B12" w14:textId="43FC92DB" w:rsidR="00F12C48" w:rsidRDefault="009B0967" w:rsidP="007C2EAE">
      <w:pPr>
        <w:pBdr>
          <w:top w:val="nil"/>
          <w:left w:val="nil"/>
          <w:bottom w:val="nil"/>
          <w:right w:val="nil"/>
          <w:between w:val="nil"/>
          <w:bar w:val="nil"/>
        </w:pBdr>
        <w:spacing w:before="0" w:after="240"/>
        <w:rPr>
          <w:noProof/>
        </w:rPr>
      </w:pPr>
      <w:r w:rsidRPr="00F12C48">
        <w:rPr>
          <w:noProof/>
        </w:rPr>
        <w:t>V návrhu sa rešpektujú zakotvené základné práva</w:t>
      </w:r>
      <w:r w:rsidR="00F12C48">
        <w:rPr>
          <w:noProof/>
        </w:rPr>
        <w:t xml:space="preserve"> a </w:t>
      </w:r>
      <w:r w:rsidRPr="00F12C48">
        <w:rPr>
          <w:noProof/>
        </w:rPr>
        <w:t>dodržujú zásady uznané</w:t>
      </w:r>
      <w:r w:rsidR="00F12C48">
        <w:rPr>
          <w:noProof/>
        </w:rPr>
        <w:t xml:space="preserve"> v </w:t>
      </w:r>
      <w:r w:rsidRPr="00F12C48">
        <w:rPr>
          <w:noProof/>
        </w:rPr>
        <w:t>Charte základných práv Európskej únie. Jedným</w:t>
      </w:r>
      <w:r w:rsidR="00F12C48">
        <w:rPr>
          <w:noProof/>
        </w:rPr>
        <w:t xml:space="preserve"> z </w:t>
      </w:r>
      <w:r w:rsidRPr="00F12C48">
        <w:rPr>
          <w:noProof/>
        </w:rPr>
        <w:t>hlavných cieľov smernice CSDDD je ochrana</w:t>
      </w:r>
      <w:r w:rsidR="00F12C48">
        <w:rPr>
          <w:noProof/>
        </w:rPr>
        <w:t xml:space="preserve"> a </w:t>
      </w:r>
      <w:r w:rsidRPr="00F12C48">
        <w:rPr>
          <w:noProof/>
        </w:rPr>
        <w:t>podpora základných práv. Vyžaduje sa</w:t>
      </w:r>
      <w:r w:rsidR="00F12C48">
        <w:rPr>
          <w:noProof/>
        </w:rPr>
        <w:t xml:space="preserve"> v </w:t>
      </w:r>
      <w:r w:rsidRPr="00F12C48">
        <w:rPr>
          <w:noProof/>
        </w:rPr>
        <w:t>nej, aby veľmi veľké spoločnosti identifikovali</w:t>
      </w:r>
      <w:r w:rsidR="00F12C48">
        <w:rPr>
          <w:noProof/>
        </w:rPr>
        <w:t xml:space="preserve"> a </w:t>
      </w:r>
      <w:r w:rsidRPr="00F12C48">
        <w:rPr>
          <w:noProof/>
        </w:rPr>
        <w:t>riešili nepriaznivé vplyvy na ľudské práva</w:t>
      </w:r>
      <w:r w:rsidR="00F12C48">
        <w:rPr>
          <w:noProof/>
        </w:rPr>
        <w:t xml:space="preserve"> a </w:t>
      </w:r>
      <w:r w:rsidRPr="00F12C48">
        <w:rPr>
          <w:noProof/>
        </w:rPr>
        <w:t>životné prostredie</w:t>
      </w:r>
      <w:r w:rsidR="00F12C48">
        <w:rPr>
          <w:noProof/>
        </w:rPr>
        <w:t xml:space="preserve"> v </w:t>
      </w:r>
      <w:r w:rsidRPr="00F12C48">
        <w:rPr>
          <w:noProof/>
        </w:rPr>
        <w:t>rámci svojich činností, ako aj</w:t>
      </w:r>
      <w:r w:rsidR="00F12C48">
        <w:rPr>
          <w:noProof/>
        </w:rPr>
        <w:t xml:space="preserve"> v </w:t>
      </w:r>
      <w:r w:rsidRPr="00F12C48">
        <w:rPr>
          <w:noProof/>
        </w:rPr>
        <w:t>rámci činností svojich dcérskych spoločností</w:t>
      </w:r>
      <w:r w:rsidR="00F12C48">
        <w:rPr>
          <w:noProof/>
        </w:rPr>
        <w:t xml:space="preserve"> a v </w:t>
      </w:r>
      <w:r w:rsidRPr="00F12C48">
        <w:rPr>
          <w:noProof/>
        </w:rPr>
        <w:t>ich reťazcoch činností. Navrhovaným odkladom by sa tieto pozitívne vplyvy oddialili, pokiaľ ide</w:t>
      </w:r>
      <w:r w:rsidR="00F12C48">
        <w:rPr>
          <w:noProof/>
        </w:rPr>
        <w:t xml:space="preserve"> o </w:t>
      </w:r>
      <w:r w:rsidRPr="00F12C48">
        <w:rPr>
          <w:noProof/>
        </w:rPr>
        <w:t>prvú skupinu spoločností patriacich do rozsahu pôsobnosti smernice, ktoré by začali uplatňovať požiadavky na náležitú starostlivosť</w:t>
      </w:r>
      <w:r w:rsidR="00F12C48">
        <w:rPr>
          <w:noProof/>
        </w:rPr>
        <w:t xml:space="preserve"> k </w:t>
      </w:r>
      <w:r w:rsidRPr="00F12C48">
        <w:rPr>
          <w:noProof/>
        </w:rPr>
        <w:t>neskoršiemu dátumu</w:t>
      </w:r>
      <w:r w:rsidR="00F12C48">
        <w:rPr>
          <w:noProof/>
        </w:rPr>
        <w:t>.</w:t>
      </w:r>
    </w:p>
    <w:p w14:paraId="55F555EF" w14:textId="4EA55747" w:rsidR="006C7F87" w:rsidRPr="00F12C48" w:rsidRDefault="006C7F87" w:rsidP="0094068A">
      <w:pPr>
        <w:pStyle w:val="ManualHeading1"/>
        <w:rPr>
          <w:noProof/>
        </w:rPr>
      </w:pPr>
      <w:r w:rsidRPr="00F12C48">
        <w:rPr>
          <w:noProof/>
        </w:rPr>
        <w:t>4.</w:t>
      </w:r>
      <w:r w:rsidRPr="00F12C48">
        <w:rPr>
          <w:noProof/>
        </w:rPr>
        <w:tab/>
        <w:t>VPLYV NA ROZPOČET</w:t>
      </w:r>
    </w:p>
    <w:p w14:paraId="4B4E9FDC" w14:textId="77777777" w:rsidR="00F12C48" w:rsidRDefault="00661D1F" w:rsidP="0094068A">
      <w:pPr>
        <w:pBdr>
          <w:top w:val="nil"/>
          <w:left w:val="nil"/>
          <w:bottom w:val="nil"/>
          <w:right w:val="nil"/>
          <w:between w:val="nil"/>
          <w:bar w:val="nil"/>
        </w:pBdr>
        <w:spacing w:before="0" w:after="240"/>
        <w:rPr>
          <w:noProof/>
        </w:rPr>
      </w:pPr>
      <w:r w:rsidRPr="00F12C48">
        <w:rPr>
          <w:noProof/>
        </w:rPr>
        <w:t>Tento návrh nemá žiadny vplyv na rozpočet</w:t>
      </w:r>
      <w:r w:rsidR="00F12C48">
        <w:rPr>
          <w:noProof/>
        </w:rPr>
        <w:t>.</w:t>
      </w:r>
    </w:p>
    <w:p w14:paraId="3F061832" w14:textId="273F87EF" w:rsidR="006C7F87" w:rsidRPr="00F12C48" w:rsidRDefault="006C7F87" w:rsidP="0094068A">
      <w:pPr>
        <w:pStyle w:val="ManualHeading1"/>
        <w:rPr>
          <w:noProof/>
        </w:rPr>
      </w:pPr>
      <w:r w:rsidRPr="00F12C48">
        <w:rPr>
          <w:noProof/>
        </w:rPr>
        <w:t>5.</w:t>
      </w:r>
      <w:r w:rsidRPr="00F12C48">
        <w:rPr>
          <w:noProof/>
        </w:rPr>
        <w:tab/>
        <w:t>ĎALŠIE PRVKY</w:t>
      </w:r>
    </w:p>
    <w:p w14:paraId="67DB09EF" w14:textId="0B4D234A" w:rsidR="006C7F87" w:rsidRPr="00F12C48" w:rsidRDefault="006C7F87" w:rsidP="0094068A">
      <w:pPr>
        <w:pStyle w:val="ManualHeading2"/>
        <w:rPr>
          <w:rFonts w:eastAsia="Arial Unicode MS"/>
          <w:noProof/>
          <w:u w:color="000000"/>
          <w:bdr w:val="nil"/>
        </w:rPr>
      </w:pPr>
      <w:r w:rsidRPr="00F12C48">
        <w:rPr>
          <w:noProof/>
          <w:u w:color="000000"/>
          <w:bdr w:val="nil"/>
        </w:rPr>
        <w:t>•</w:t>
      </w:r>
      <w:r w:rsidRPr="00F12C48">
        <w:rPr>
          <w:noProof/>
        </w:rPr>
        <w:tab/>
      </w:r>
      <w:r w:rsidRPr="00F12C48">
        <w:rPr>
          <w:noProof/>
          <w:u w:color="000000"/>
          <w:bdr w:val="nil"/>
        </w:rPr>
        <w:t>Plány vykonávania, spôsob monitorovania, hodnotenia</w:t>
      </w:r>
      <w:r w:rsidR="00F12C48">
        <w:rPr>
          <w:noProof/>
          <w:u w:color="000000"/>
          <w:bdr w:val="nil"/>
        </w:rPr>
        <w:t xml:space="preserve"> a </w:t>
      </w:r>
      <w:r w:rsidRPr="00F12C48">
        <w:rPr>
          <w:noProof/>
          <w:u w:color="000000"/>
          <w:bdr w:val="nil"/>
        </w:rPr>
        <w:t>podávania správ</w:t>
      </w:r>
    </w:p>
    <w:p w14:paraId="5918F282" w14:textId="77777777" w:rsidR="006C7F87" w:rsidRPr="00F12C48" w:rsidRDefault="00733A6F" w:rsidP="0094068A">
      <w:pPr>
        <w:pBdr>
          <w:top w:val="nil"/>
          <w:left w:val="nil"/>
          <w:bottom w:val="nil"/>
          <w:right w:val="nil"/>
          <w:between w:val="nil"/>
          <w:bar w:val="nil"/>
        </w:pBdr>
        <w:spacing w:before="0" w:after="240"/>
        <w:rPr>
          <w:noProof/>
        </w:rPr>
      </w:pPr>
      <w:r w:rsidRPr="00F12C48">
        <w:rPr>
          <w:noProof/>
        </w:rPr>
        <w:t>Neuplatňuje sa.</w:t>
      </w:r>
    </w:p>
    <w:p w14:paraId="2D1C5984" w14:textId="77777777" w:rsidR="006C7F87" w:rsidRPr="00F12C48" w:rsidRDefault="006C7F87" w:rsidP="0094068A">
      <w:pPr>
        <w:pStyle w:val="ManualHeading2"/>
        <w:rPr>
          <w:rFonts w:eastAsia="Arial Unicode MS"/>
          <w:noProof/>
          <w:u w:color="000000"/>
          <w:bdr w:val="nil"/>
        </w:rPr>
      </w:pPr>
      <w:r w:rsidRPr="00F12C48">
        <w:rPr>
          <w:noProof/>
          <w:u w:color="000000"/>
          <w:bdr w:val="nil"/>
        </w:rPr>
        <w:t>•</w:t>
      </w:r>
      <w:r w:rsidRPr="00F12C48">
        <w:rPr>
          <w:noProof/>
        </w:rPr>
        <w:tab/>
      </w:r>
      <w:r w:rsidRPr="00F12C48">
        <w:rPr>
          <w:noProof/>
          <w:u w:color="000000"/>
          <w:bdr w:val="nil"/>
        </w:rPr>
        <w:t>Vysvetľujúce dokumenty (v prípade smerníc)</w:t>
      </w:r>
    </w:p>
    <w:p w14:paraId="33A2F332" w14:textId="77777777" w:rsidR="006A1E17" w:rsidRPr="00F12C48" w:rsidRDefault="006A1E17" w:rsidP="006A1E17">
      <w:pPr>
        <w:pBdr>
          <w:top w:val="nil"/>
          <w:left w:val="nil"/>
          <w:bottom w:val="nil"/>
          <w:right w:val="nil"/>
          <w:between w:val="nil"/>
          <w:bar w:val="nil"/>
        </w:pBdr>
        <w:spacing w:before="0" w:after="240"/>
        <w:rPr>
          <w:rFonts w:eastAsia="Arial Unicode MS"/>
          <w:noProof/>
        </w:rPr>
      </w:pPr>
      <w:r w:rsidRPr="00F12C48">
        <w:rPr>
          <w:noProof/>
        </w:rPr>
        <w:t>Žiadne vysvetľujúce dokumenty sa nepovažujú za potrebné.</w:t>
      </w:r>
    </w:p>
    <w:p w14:paraId="1C3D5683" w14:textId="7CE0BE1C" w:rsidR="006C7F87" w:rsidRPr="00F12C48" w:rsidRDefault="006C7F87" w:rsidP="00DD2BEC">
      <w:pPr>
        <w:pStyle w:val="ManualHeading2"/>
        <w:rPr>
          <w:rFonts w:eastAsia="Arial Unicode MS"/>
          <w:noProof/>
          <w:u w:color="000000"/>
          <w:bdr w:val="nil"/>
        </w:rPr>
      </w:pPr>
      <w:r w:rsidRPr="00F12C48">
        <w:rPr>
          <w:noProof/>
          <w:u w:color="000000"/>
          <w:bdr w:val="nil"/>
        </w:rPr>
        <w:t>•</w:t>
      </w:r>
      <w:r w:rsidRPr="00F12C48">
        <w:rPr>
          <w:noProof/>
        </w:rPr>
        <w:tab/>
      </w:r>
      <w:r w:rsidRPr="00F12C48">
        <w:rPr>
          <w:noProof/>
          <w:u w:color="000000"/>
          <w:bdr w:val="nil"/>
        </w:rPr>
        <w:t>Podrobné vysvetlenie konkrétnych ustanovení návrhu</w:t>
      </w:r>
    </w:p>
    <w:p w14:paraId="148B532C" w14:textId="2B63E729" w:rsidR="00F12C48" w:rsidRDefault="00D1123F" w:rsidP="0057371C">
      <w:pPr>
        <w:spacing w:before="0" w:after="0"/>
        <w:rPr>
          <w:noProof/>
        </w:rPr>
      </w:pPr>
      <w:bookmarkStart w:id="1" w:name="_Hlk190089865"/>
      <w:r w:rsidRPr="00F12C48">
        <w:rPr>
          <w:noProof/>
        </w:rPr>
        <w:t>Článkom 1 sa mení článok 5 ods. 2 smernice (EÚ) 2022/2464 (smernica</w:t>
      </w:r>
      <w:r w:rsidR="00F12C48">
        <w:rPr>
          <w:noProof/>
        </w:rPr>
        <w:t xml:space="preserve"> o </w:t>
      </w:r>
      <w:r w:rsidRPr="00F12C48">
        <w:rPr>
          <w:noProof/>
        </w:rPr>
        <w:t>vykazovaní informácií</w:t>
      </w:r>
      <w:r w:rsidR="00F12C48">
        <w:rPr>
          <w:noProof/>
        </w:rPr>
        <w:t xml:space="preserve"> o </w:t>
      </w:r>
      <w:r w:rsidRPr="00F12C48">
        <w:rPr>
          <w:noProof/>
        </w:rPr>
        <w:t>udržateľnosti podnikov, „CSRD“) zavedením dvojročného odkladu požiadaviek na vykazovanie informácií</w:t>
      </w:r>
      <w:r w:rsidR="00F12C48">
        <w:rPr>
          <w:noProof/>
        </w:rPr>
        <w:t xml:space="preserve"> o </w:t>
      </w:r>
      <w:r w:rsidRPr="00F12C48">
        <w:rPr>
          <w:noProof/>
        </w:rPr>
        <w:t>udržateľnosti pre všetky spoločnosti patriace do rozsahu pôsobnosti smernice CSRD, ktoré musia tieto požiadavky dodržiavať od účtovného roka 2025 alebo 2026</w:t>
      </w:r>
      <w:r w:rsidR="00F12C48">
        <w:rPr>
          <w:noProof/>
        </w:rPr>
        <w:t xml:space="preserve"> v </w:t>
      </w:r>
      <w:r w:rsidRPr="00F12C48">
        <w:rPr>
          <w:noProof/>
        </w:rPr>
        <w:t>závislosti od ich veľkosti</w:t>
      </w:r>
      <w:r w:rsidR="00F12C48">
        <w:rPr>
          <w:noProof/>
        </w:rPr>
        <w:t>.</w:t>
      </w:r>
    </w:p>
    <w:p w14:paraId="626315B7" w14:textId="22579211" w:rsidR="002C75E5" w:rsidRPr="00F12C48" w:rsidRDefault="002C75E5" w:rsidP="0057371C">
      <w:pPr>
        <w:spacing w:before="0" w:after="0"/>
        <w:rPr>
          <w:noProof/>
        </w:rPr>
      </w:pPr>
      <w:r w:rsidRPr="00F12C48">
        <w:rPr>
          <w:noProof/>
        </w:rPr>
        <w:t>Konkrétne:</w:t>
      </w:r>
    </w:p>
    <w:p w14:paraId="0E44F782" w14:textId="06835EB4" w:rsidR="003D234B" w:rsidRPr="00F12C48" w:rsidRDefault="00482FA2" w:rsidP="00DD2BEC">
      <w:pPr>
        <w:pStyle w:val="Tiret0"/>
        <w:rPr>
          <w:noProof/>
        </w:rPr>
      </w:pPr>
      <w:r w:rsidRPr="00F12C48">
        <w:rPr>
          <w:noProof/>
        </w:rPr>
        <w:t>v odseku 1 písm. a) sa od členských štátov vyžaduje, aby zabezpečili, aby nasledujúce podniky vykazovali informácie</w:t>
      </w:r>
      <w:r w:rsidR="00F12C48">
        <w:rPr>
          <w:noProof/>
        </w:rPr>
        <w:t xml:space="preserve"> o </w:t>
      </w:r>
      <w:r w:rsidRPr="00F12C48">
        <w:rPr>
          <w:noProof/>
        </w:rPr>
        <w:t>udržateľnosti od účtovných rokov, ktoré sa začínajú 1</w:t>
      </w:r>
      <w:r w:rsidR="00F12C48">
        <w:rPr>
          <w:noProof/>
        </w:rPr>
        <w:t>. januára</w:t>
      </w:r>
      <w:r w:rsidRPr="00F12C48">
        <w:rPr>
          <w:noProof/>
        </w:rPr>
        <w:t xml:space="preserve"> 2027 alebo neskôr (namiesto 1</w:t>
      </w:r>
      <w:r w:rsidR="00F12C48">
        <w:rPr>
          <w:noProof/>
        </w:rPr>
        <w:t>. januára</w:t>
      </w:r>
      <w:r w:rsidRPr="00F12C48">
        <w:rPr>
          <w:noProof/>
        </w:rPr>
        <w:t xml:space="preserve"> 2025):</w:t>
      </w:r>
    </w:p>
    <w:p w14:paraId="4E829FE7" w14:textId="6CBEF9FC" w:rsidR="00F12C48" w:rsidRDefault="00571B79" w:rsidP="00B90811">
      <w:pPr>
        <w:pStyle w:val="Bullet0"/>
        <w:numPr>
          <w:ilvl w:val="0"/>
          <w:numId w:val="20"/>
        </w:numPr>
        <w:tabs>
          <w:tab w:val="clear" w:pos="850"/>
          <w:tab w:val="num" w:pos="1560"/>
        </w:tabs>
        <w:ind w:left="1276" w:hanging="425"/>
        <w:rPr>
          <w:noProof/>
        </w:rPr>
      </w:pPr>
      <w:r w:rsidRPr="00F12C48">
        <w:rPr>
          <w:noProof/>
        </w:rPr>
        <w:t>veľké podniky, ktoré majú počas účtovného roka</w:t>
      </w:r>
      <w:r w:rsidR="00F12C48">
        <w:rPr>
          <w:noProof/>
        </w:rPr>
        <w:t xml:space="preserve"> v </w:t>
      </w:r>
      <w:r w:rsidRPr="00F12C48">
        <w:rPr>
          <w:noProof/>
        </w:rPr>
        <w:t>priemere najviac 500 zamestnancov</w:t>
      </w:r>
      <w:r w:rsidR="00F12C48">
        <w:rPr>
          <w:noProof/>
        </w:rPr>
        <w:t>;</w:t>
      </w:r>
    </w:p>
    <w:p w14:paraId="3D9C23C9" w14:textId="2CF3E842" w:rsidR="00F12C48" w:rsidRDefault="003D234B" w:rsidP="00DD2BEC">
      <w:pPr>
        <w:pStyle w:val="Bullet0"/>
        <w:tabs>
          <w:tab w:val="clear" w:pos="850"/>
          <w:tab w:val="num" w:pos="1560"/>
        </w:tabs>
        <w:ind w:left="1276" w:hanging="425"/>
        <w:rPr>
          <w:noProof/>
        </w:rPr>
      </w:pPr>
      <w:r w:rsidRPr="00F12C48">
        <w:rPr>
          <w:noProof/>
        </w:rPr>
        <w:t>veľké podniky, ktoré majú počas účtovného roka</w:t>
      </w:r>
      <w:r w:rsidR="00F12C48">
        <w:rPr>
          <w:noProof/>
        </w:rPr>
        <w:t xml:space="preserve"> v </w:t>
      </w:r>
      <w:r w:rsidRPr="00F12C48">
        <w:rPr>
          <w:noProof/>
        </w:rPr>
        <w:t>priemere viac než 500 zamestnancov, ale nie sú subjektmi verejného záujmu</w:t>
      </w:r>
      <w:r w:rsidR="00F12C48">
        <w:rPr>
          <w:noProof/>
        </w:rPr>
        <w:t>;</w:t>
      </w:r>
    </w:p>
    <w:p w14:paraId="3B377C00" w14:textId="436C2C77" w:rsidR="00F83E1C" w:rsidRPr="00F12C48" w:rsidRDefault="00F83E1C" w:rsidP="00DD2BEC">
      <w:pPr>
        <w:pStyle w:val="Bullet0"/>
        <w:tabs>
          <w:tab w:val="clear" w:pos="850"/>
          <w:tab w:val="num" w:pos="1560"/>
        </w:tabs>
        <w:ind w:left="1276" w:hanging="425"/>
        <w:rPr>
          <w:noProof/>
        </w:rPr>
      </w:pPr>
      <w:r w:rsidRPr="00F12C48">
        <w:rPr>
          <w:noProof/>
        </w:rPr>
        <w:lastRenderedPageBreak/>
        <w:t>materské podniky veľkej skupiny, ktorá má</w:t>
      </w:r>
      <w:r w:rsidR="00F12C48">
        <w:rPr>
          <w:noProof/>
        </w:rPr>
        <w:t xml:space="preserve"> v </w:t>
      </w:r>
      <w:r w:rsidRPr="00F12C48">
        <w:rPr>
          <w:noProof/>
        </w:rPr>
        <w:t>priemere viac než 500 zamestnancov</w:t>
      </w:r>
      <w:r w:rsidR="00F12C48">
        <w:rPr>
          <w:noProof/>
        </w:rPr>
        <w:t xml:space="preserve"> k </w:t>
      </w:r>
      <w:r w:rsidRPr="00F12C48">
        <w:rPr>
          <w:noProof/>
        </w:rPr>
        <w:t>súvahovému dňu na konsolidovanom základe počas účtovného roka;</w:t>
      </w:r>
    </w:p>
    <w:p w14:paraId="5A9CDE58" w14:textId="25DE4917" w:rsidR="003D234B" w:rsidRPr="00F12C48" w:rsidRDefault="000A419A" w:rsidP="00DD2BEC">
      <w:pPr>
        <w:pStyle w:val="Bullet0"/>
        <w:tabs>
          <w:tab w:val="clear" w:pos="850"/>
          <w:tab w:val="num" w:pos="1560"/>
        </w:tabs>
        <w:ind w:left="1276" w:hanging="425"/>
        <w:rPr>
          <w:noProof/>
        </w:rPr>
      </w:pPr>
      <w:r w:rsidRPr="00F12C48">
        <w:rPr>
          <w:noProof/>
        </w:rPr>
        <w:t>materské podniky veľkej skupiny, ktorá má</w:t>
      </w:r>
      <w:r w:rsidR="00F12C48">
        <w:rPr>
          <w:noProof/>
        </w:rPr>
        <w:t xml:space="preserve"> v </w:t>
      </w:r>
      <w:r w:rsidRPr="00F12C48">
        <w:rPr>
          <w:noProof/>
        </w:rPr>
        <w:t>priemere viac než 500 zamestnancov</w:t>
      </w:r>
      <w:r w:rsidR="00F12C48">
        <w:rPr>
          <w:noProof/>
        </w:rPr>
        <w:t xml:space="preserve"> k </w:t>
      </w:r>
      <w:r w:rsidRPr="00F12C48">
        <w:rPr>
          <w:noProof/>
        </w:rPr>
        <w:t>súvahovému dňu na konsolidovanom základe počas účtovného roka, ale ktoré nie sú subjektmi verejného záujmu;</w:t>
      </w:r>
    </w:p>
    <w:p w14:paraId="1B816E2F" w14:textId="079CFEEB" w:rsidR="00F12C48" w:rsidRDefault="00996F14" w:rsidP="00DD2BEC">
      <w:pPr>
        <w:pStyle w:val="Tiret0"/>
        <w:rPr>
          <w:noProof/>
        </w:rPr>
      </w:pPr>
      <w:r w:rsidRPr="00F12C48">
        <w:rPr>
          <w:noProof/>
        </w:rPr>
        <w:t>v odseku 1 písm. b) sa od členských štátov vyžaduje, aby zabezpečili, aby MSP</w:t>
      </w:r>
      <w:r w:rsidR="00F12C48">
        <w:rPr>
          <w:noProof/>
        </w:rPr>
        <w:t xml:space="preserve"> s </w:t>
      </w:r>
      <w:r w:rsidRPr="00F12C48">
        <w:rPr>
          <w:noProof/>
        </w:rPr>
        <w:t>cennými papiermi prijatými na obchodovanie na regulovanom trhu EÚ, malé</w:t>
      </w:r>
      <w:r w:rsidR="00F12C48">
        <w:rPr>
          <w:noProof/>
        </w:rPr>
        <w:t xml:space="preserve"> a </w:t>
      </w:r>
      <w:r w:rsidRPr="00F12C48">
        <w:rPr>
          <w:noProof/>
        </w:rPr>
        <w:t>menej zložité inštitúcie (za predpokladu, že ide</w:t>
      </w:r>
      <w:r w:rsidR="00F12C48">
        <w:rPr>
          <w:noProof/>
        </w:rPr>
        <w:t xml:space="preserve"> o </w:t>
      </w:r>
      <w:r w:rsidRPr="00F12C48">
        <w:rPr>
          <w:noProof/>
        </w:rPr>
        <w:t>veľké podniky alebo kótované MSP)</w:t>
      </w:r>
      <w:r w:rsidR="00F12C48">
        <w:rPr>
          <w:noProof/>
        </w:rPr>
        <w:t xml:space="preserve"> a </w:t>
      </w:r>
      <w:r w:rsidRPr="00F12C48">
        <w:rPr>
          <w:noProof/>
        </w:rPr>
        <w:t>kaptívne poisťovne/zaisťovne</w:t>
      </w:r>
      <w:r w:rsidR="00F12C48">
        <w:rPr>
          <w:noProof/>
        </w:rPr>
        <w:t xml:space="preserve"> v </w:t>
      </w:r>
      <w:r w:rsidRPr="00F12C48">
        <w:rPr>
          <w:noProof/>
        </w:rPr>
        <w:t>EÚ (za predpokladu, že sú veľkými podnikmi alebo kótovanými MSP) vykazovali informácie</w:t>
      </w:r>
      <w:r w:rsidR="00F12C48">
        <w:rPr>
          <w:noProof/>
        </w:rPr>
        <w:t xml:space="preserve"> o </w:t>
      </w:r>
      <w:r w:rsidRPr="00F12C48">
        <w:rPr>
          <w:noProof/>
        </w:rPr>
        <w:t>udržateľnosti od účtovných rokov, ktoré sa začínajú 1</w:t>
      </w:r>
      <w:r w:rsidR="00F12C48">
        <w:rPr>
          <w:noProof/>
        </w:rPr>
        <w:t>. januára</w:t>
      </w:r>
      <w:r w:rsidRPr="00F12C48">
        <w:rPr>
          <w:noProof/>
        </w:rPr>
        <w:t xml:space="preserve"> 2028 alebo neskôr (namiesto 1</w:t>
      </w:r>
      <w:r w:rsidR="00F12C48">
        <w:rPr>
          <w:noProof/>
        </w:rPr>
        <w:t>. januára</w:t>
      </w:r>
      <w:r w:rsidRPr="00F12C48">
        <w:rPr>
          <w:noProof/>
        </w:rPr>
        <w:t xml:space="preserve"> 2026)</w:t>
      </w:r>
      <w:r w:rsidR="00F12C48">
        <w:rPr>
          <w:noProof/>
        </w:rPr>
        <w:t>;</w:t>
      </w:r>
    </w:p>
    <w:p w14:paraId="6B9C609D" w14:textId="5E12DB86" w:rsidR="00965588" w:rsidRPr="00F12C48" w:rsidRDefault="00996F14" w:rsidP="00DD2BEC">
      <w:pPr>
        <w:pStyle w:val="Tiret0"/>
        <w:rPr>
          <w:noProof/>
        </w:rPr>
      </w:pPr>
      <w:r w:rsidRPr="00F12C48">
        <w:rPr>
          <w:noProof/>
        </w:rPr>
        <w:t>v odseku 2 písm. a) sa od členských štátov vyžaduje, aby zabezpečili, aby nasledujúci emitenti vykazovali informácie</w:t>
      </w:r>
      <w:r w:rsidR="00F12C48">
        <w:rPr>
          <w:noProof/>
        </w:rPr>
        <w:t xml:space="preserve"> o </w:t>
      </w:r>
      <w:r w:rsidRPr="00F12C48">
        <w:rPr>
          <w:noProof/>
        </w:rPr>
        <w:t>udržateľnosti od účtovných rokov, ktoré sa začínajú 1</w:t>
      </w:r>
      <w:r w:rsidR="00F12C48">
        <w:rPr>
          <w:noProof/>
        </w:rPr>
        <w:t>. januára</w:t>
      </w:r>
      <w:r w:rsidRPr="00F12C48">
        <w:rPr>
          <w:noProof/>
        </w:rPr>
        <w:t xml:space="preserve"> 2027 alebo neskôr (namiesto 1</w:t>
      </w:r>
      <w:r w:rsidR="00F12C48">
        <w:rPr>
          <w:noProof/>
        </w:rPr>
        <w:t>. januára</w:t>
      </w:r>
      <w:r w:rsidRPr="00F12C48">
        <w:rPr>
          <w:noProof/>
        </w:rPr>
        <w:t xml:space="preserve"> 2025):</w:t>
      </w:r>
    </w:p>
    <w:p w14:paraId="1BC6EF53" w14:textId="079257C6" w:rsidR="00F12C48" w:rsidRDefault="009A2097" w:rsidP="00DD2BEC">
      <w:pPr>
        <w:pStyle w:val="Bullet0"/>
        <w:tabs>
          <w:tab w:val="clear" w:pos="850"/>
          <w:tab w:val="num" w:pos="1276"/>
        </w:tabs>
        <w:ind w:left="1276" w:hanging="425"/>
        <w:rPr>
          <w:noProof/>
        </w:rPr>
      </w:pPr>
      <w:r w:rsidRPr="00F12C48">
        <w:rPr>
          <w:noProof/>
        </w:rPr>
        <w:t>emitenti, ktorí sú veľkými podnikmi, ktoré majú počas účtovného roka</w:t>
      </w:r>
      <w:r w:rsidR="00F12C48">
        <w:rPr>
          <w:noProof/>
        </w:rPr>
        <w:t xml:space="preserve"> v </w:t>
      </w:r>
      <w:r w:rsidRPr="00F12C48">
        <w:rPr>
          <w:noProof/>
        </w:rPr>
        <w:t>priemere najviac 500 zamestnancov</w:t>
      </w:r>
      <w:r w:rsidR="00F12C48">
        <w:rPr>
          <w:noProof/>
        </w:rPr>
        <w:t>;</w:t>
      </w:r>
    </w:p>
    <w:p w14:paraId="72715353" w14:textId="2901365A" w:rsidR="001F18C1" w:rsidRPr="00F12C48" w:rsidRDefault="006E5885" w:rsidP="00DD2BEC">
      <w:pPr>
        <w:pStyle w:val="Bullet0"/>
        <w:tabs>
          <w:tab w:val="clear" w:pos="850"/>
          <w:tab w:val="num" w:pos="1276"/>
        </w:tabs>
        <w:ind w:left="1276" w:hanging="425"/>
        <w:rPr>
          <w:noProof/>
        </w:rPr>
      </w:pPr>
      <w:r w:rsidRPr="00F12C48">
        <w:rPr>
          <w:noProof/>
        </w:rPr>
        <w:t>emitenti, ktorí sú materskými podnikmi veľkej skupiny, ktorá má</w:t>
      </w:r>
      <w:r w:rsidR="00F12C48">
        <w:rPr>
          <w:noProof/>
        </w:rPr>
        <w:t xml:space="preserve"> v </w:t>
      </w:r>
      <w:r w:rsidRPr="00F12C48">
        <w:rPr>
          <w:noProof/>
        </w:rPr>
        <w:t>priemere najviac 500 zamestnancov na konsolidovanom základe počas účtovného roka;</w:t>
      </w:r>
    </w:p>
    <w:p w14:paraId="3819341C" w14:textId="13F16C58" w:rsidR="00F12C48" w:rsidRDefault="00996F14" w:rsidP="00DD2BEC">
      <w:pPr>
        <w:pStyle w:val="Tiret0"/>
        <w:rPr>
          <w:noProof/>
        </w:rPr>
      </w:pPr>
      <w:r w:rsidRPr="00F12C48">
        <w:rPr>
          <w:noProof/>
        </w:rPr>
        <w:t>v odseku 2 písm. b) sa od členských štátov vyžaduje, aby zabezpečili, aby emitenti, ktorí sú MSP, malými</w:t>
      </w:r>
      <w:r w:rsidR="00F12C48">
        <w:rPr>
          <w:noProof/>
        </w:rPr>
        <w:t xml:space="preserve"> a </w:t>
      </w:r>
      <w:r w:rsidRPr="00F12C48">
        <w:rPr>
          <w:noProof/>
        </w:rPr>
        <w:t>menej zložitými inštitúciami (za predpokladu, že ide</w:t>
      </w:r>
      <w:r w:rsidR="00F12C48">
        <w:rPr>
          <w:noProof/>
        </w:rPr>
        <w:t xml:space="preserve"> o </w:t>
      </w:r>
      <w:r w:rsidRPr="00F12C48">
        <w:rPr>
          <w:noProof/>
        </w:rPr>
        <w:t>veľké podniky alebo kótované MSP)</w:t>
      </w:r>
      <w:r w:rsidR="00F12C48">
        <w:rPr>
          <w:noProof/>
        </w:rPr>
        <w:t xml:space="preserve"> a </w:t>
      </w:r>
      <w:r w:rsidRPr="00F12C48">
        <w:rPr>
          <w:noProof/>
        </w:rPr>
        <w:t>kaptívnymi poisťovňami/zaisťovňami</w:t>
      </w:r>
      <w:r w:rsidR="00F12C48">
        <w:rPr>
          <w:noProof/>
        </w:rPr>
        <w:t xml:space="preserve"> v </w:t>
      </w:r>
      <w:r w:rsidRPr="00F12C48">
        <w:rPr>
          <w:noProof/>
        </w:rPr>
        <w:t>EÚ (za predpokladu, že sú veľkými podnikmi alebo kótovanými MSP), vykazovali informácie</w:t>
      </w:r>
      <w:r w:rsidR="00F12C48">
        <w:rPr>
          <w:noProof/>
        </w:rPr>
        <w:t xml:space="preserve"> o </w:t>
      </w:r>
      <w:r w:rsidRPr="00F12C48">
        <w:rPr>
          <w:noProof/>
        </w:rPr>
        <w:t>udržateľnosti od účtovných rokov, ktoré sa začínajú 1</w:t>
      </w:r>
      <w:r w:rsidR="00F12C48">
        <w:rPr>
          <w:noProof/>
        </w:rPr>
        <w:t>. januára</w:t>
      </w:r>
      <w:r w:rsidRPr="00F12C48">
        <w:rPr>
          <w:noProof/>
        </w:rPr>
        <w:t xml:space="preserve"> 2028 alebo neskôr (namiesto 1</w:t>
      </w:r>
      <w:r w:rsidR="00F12C48">
        <w:rPr>
          <w:noProof/>
        </w:rPr>
        <w:t>. januára</w:t>
      </w:r>
      <w:r w:rsidRPr="00F12C48">
        <w:rPr>
          <w:noProof/>
        </w:rPr>
        <w:t xml:space="preserve"> 2026)</w:t>
      </w:r>
      <w:r w:rsidR="00F12C48">
        <w:rPr>
          <w:noProof/>
        </w:rPr>
        <w:t>.</w:t>
      </w:r>
    </w:p>
    <w:bookmarkEnd w:id="1"/>
    <w:p w14:paraId="287C1AF3" w14:textId="40026CEA" w:rsidR="00D1123F" w:rsidRPr="00F12C48" w:rsidRDefault="00D1123F" w:rsidP="00044603">
      <w:pPr>
        <w:pStyle w:val="Odsekzoznamu"/>
        <w:spacing w:before="0" w:after="0"/>
        <w:rPr>
          <w:noProof/>
        </w:rPr>
      </w:pPr>
    </w:p>
    <w:p w14:paraId="3C22947A" w14:textId="531C1A6C" w:rsidR="00240611" w:rsidRPr="00F12C48" w:rsidRDefault="00D1123F" w:rsidP="008E7E13">
      <w:pPr>
        <w:spacing w:before="0" w:after="0"/>
        <w:rPr>
          <w:noProof/>
        </w:rPr>
      </w:pPr>
      <w:r w:rsidRPr="00F12C48">
        <w:rPr>
          <w:noProof/>
        </w:rPr>
        <w:t>Článkom 2 sa mení článok 37 smernice (EÚ) 2024/1760 (smernica</w:t>
      </w:r>
      <w:r w:rsidR="00F12C48">
        <w:rPr>
          <w:noProof/>
        </w:rPr>
        <w:t xml:space="preserve"> o </w:t>
      </w:r>
      <w:r w:rsidRPr="00F12C48">
        <w:rPr>
          <w:noProof/>
        </w:rPr>
        <w:t>náležitej starostlivosti podnikov, „CSDDD“) tak, že pre prvú skupinu spoločností patriacich do rozsahu pôsobnosti smernice sa odkladá lehota na transpozíciu, ako aj uplatňovanie smernice</w:t>
      </w:r>
      <w:r w:rsidR="00F12C48">
        <w:rPr>
          <w:noProof/>
        </w:rPr>
        <w:t xml:space="preserve"> o </w:t>
      </w:r>
      <w:r w:rsidRPr="00F12C48">
        <w:rPr>
          <w:noProof/>
        </w:rPr>
        <w:t>jeden rok.</w:t>
      </w:r>
    </w:p>
    <w:p w14:paraId="15A6D424" w14:textId="77777777" w:rsidR="00AE5E8C" w:rsidRPr="00F12C48" w:rsidRDefault="00AE5E8C" w:rsidP="00AE5E8C">
      <w:pPr>
        <w:spacing w:before="0" w:after="0"/>
        <w:jc w:val="left"/>
        <w:rPr>
          <w:noProof/>
        </w:rPr>
      </w:pPr>
    </w:p>
    <w:p w14:paraId="13320390" w14:textId="53505DC9" w:rsidR="00F12C48" w:rsidRDefault="00D1123F" w:rsidP="004A73DD">
      <w:pPr>
        <w:spacing w:before="0" w:after="0"/>
        <w:rPr>
          <w:noProof/>
        </w:rPr>
      </w:pPr>
      <w:r w:rsidRPr="00F12C48">
        <w:rPr>
          <w:noProof/>
        </w:rPr>
        <w:t>V článku 3 sa vyžaduje, aby členské štáty transponovali článok 1 tejto smernice najneskôr do 31</w:t>
      </w:r>
      <w:r w:rsidR="00F12C48">
        <w:rPr>
          <w:noProof/>
        </w:rPr>
        <w:t>. decembra</w:t>
      </w:r>
      <w:r w:rsidRPr="00F12C48">
        <w:rPr>
          <w:noProof/>
        </w:rPr>
        <w:t xml:space="preserve"> 2025</w:t>
      </w:r>
      <w:r w:rsidR="00F12C48">
        <w:rPr>
          <w:noProof/>
        </w:rPr>
        <w:t xml:space="preserve"> a </w:t>
      </w:r>
      <w:r w:rsidRPr="00F12C48">
        <w:rPr>
          <w:noProof/>
        </w:rPr>
        <w:t>oznámili Komisii znenie svojich transpozičných opatrení</w:t>
      </w:r>
      <w:r w:rsidR="00F12C48">
        <w:rPr>
          <w:noProof/>
        </w:rPr>
        <w:t>.</w:t>
      </w:r>
    </w:p>
    <w:p w14:paraId="7A3D7D4B" w14:textId="7F0C3AA0" w:rsidR="00D4127B" w:rsidRPr="00F12C48" w:rsidRDefault="00D4127B" w:rsidP="004A73DD">
      <w:pPr>
        <w:spacing w:before="0" w:after="0"/>
        <w:rPr>
          <w:noProof/>
        </w:rPr>
      </w:pPr>
    </w:p>
    <w:p w14:paraId="23FC9E95" w14:textId="25E4CF4E" w:rsidR="00F74219" w:rsidRPr="00F12C48" w:rsidRDefault="00D1123F" w:rsidP="004A73DD">
      <w:pPr>
        <w:spacing w:before="0" w:after="0"/>
        <w:rPr>
          <w:noProof/>
        </w:rPr>
      </w:pPr>
      <w:r w:rsidRPr="00F12C48">
        <w:rPr>
          <w:noProof/>
        </w:rPr>
        <w:t>V článku 4 sa stanovuje, že táto smernica nadobúda účinnosť dňom nasledujúcim po jej uverejnení</w:t>
      </w:r>
      <w:r w:rsidR="00F12C48">
        <w:rPr>
          <w:noProof/>
        </w:rPr>
        <w:t xml:space="preserve"> v </w:t>
      </w:r>
      <w:r w:rsidRPr="00F12C48">
        <w:rPr>
          <w:i/>
          <w:iCs/>
          <w:noProof/>
        </w:rPr>
        <w:t>Úradnom vestníku Európskej únie</w:t>
      </w:r>
      <w:r w:rsidRPr="00F12C48">
        <w:rPr>
          <w:noProof/>
        </w:rPr>
        <w:t>.</w:t>
      </w:r>
    </w:p>
    <w:p w14:paraId="2D5C892E" w14:textId="77777777" w:rsidR="006C7F87" w:rsidRPr="00F12C48" w:rsidRDefault="00AA6233" w:rsidP="004A73DD">
      <w:pPr>
        <w:spacing w:before="0" w:after="0"/>
        <w:rPr>
          <w:noProof/>
        </w:rPr>
        <w:sectPr w:rsidR="006C7F87" w:rsidRPr="00F12C48" w:rsidSect="008434AF">
          <w:headerReference w:type="even" r:id="rId14"/>
          <w:footerReference w:type="even" r:id="rId15"/>
          <w:footerReference w:type="default" r:id="rId16"/>
          <w:headerReference w:type="first" r:id="rId17"/>
          <w:footerReference w:type="first" r:id="rId18"/>
          <w:pgSz w:w="11907" w:h="16839"/>
          <w:pgMar w:top="1134" w:right="1417" w:bottom="1134" w:left="1417" w:header="709" w:footer="709" w:gutter="0"/>
          <w:cols w:space="708"/>
          <w:docGrid w:linePitch="360"/>
        </w:sectPr>
      </w:pPr>
      <w:r w:rsidRPr="00F12C48">
        <w:rPr>
          <w:noProof/>
        </w:rPr>
        <w:t xml:space="preserve"> </w:t>
      </w:r>
    </w:p>
    <w:p w14:paraId="0EC6F386" w14:textId="1D4AD5A4" w:rsidR="001F5A76" w:rsidRPr="00F12C48" w:rsidRDefault="008E101E" w:rsidP="008E101E">
      <w:pPr>
        <w:pStyle w:val="Rfrenceinterinstitutionnelle"/>
        <w:rPr>
          <w:noProof/>
        </w:rPr>
      </w:pPr>
      <w:r>
        <w:rPr>
          <w:noProof/>
        </w:rPr>
        <w:lastRenderedPageBreak/>
        <w:t>2025/0044 (COD)</w:t>
      </w:r>
    </w:p>
    <w:p w14:paraId="52077563" w14:textId="2B3FA616" w:rsidR="006C7F87" w:rsidRPr="00F12C48" w:rsidRDefault="008E101E" w:rsidP="008E101E">
      <w:pPr>
        <w:pStyle w:val="Statut"/>
        <w:rPr>
          <w:noProof/>
        </w:rPr>
      </w:pPr>
      <w:r w:rsidRPr="008E101E">
        <w:rPr>
          <w:noProof/>
        </w:rPr>
        <w:t>Návrh</w:t>
      </w:r>
    </w:p>
    <w:p w14:paraId="032F4257" w14:textId="1EF627BF" w:rsidR="006C7F87" w:rsidRPr="00F12C48" w:rsidRDefault="008E101E" w:rsidP="008E101E">
      <w:pPr>
        <w:pStyle w:val="Typedudocument"/>
        <w:rPr>
          <w:noProof/>
        </w:rPr>
      </w:pPr>
      <w:r w:rsidRPr="008E101E">
        <w:rPr>
          <w:noProof/>
        </w:rPr>
        <w:t>SMERNICA EURÓPSKEHO PARLAMENTU A RADY,</w:t>
      </w:r>
    </w:p>
    <w:p w14:paraId="4710C23F" w14:textId="42156ECC" w:rsidR="006C7F87" w:rsidRPr="00F12C48" w:rsidRDefault="008E101E" w:rsidP="008E101E">
      <w:pPr>
        <w:pStyle w:val="Titreobjet"/>
        <w:rPr>
          <w:noProof/>
        </w:rPr>
      </w:pPr>
      <w:r w:rsidRPr="008E101E">
        <w:rPr>
          <w:noProof/>
        </w:rPr>
        <w:t>ktorou sa menia smernice (EÚ) 2022/2464 a (EÚ) 2024/1760, pokiaľ ide o dátumy, od ktorých majú členské štáty uplatňovať určité požiadavky na vykazovanie informácií o udržateľnosti podnikov a náležitú starostlivosť podnikov v oblasti udržateľnosti</w:t>
      </w:r>
    </w:p>
    <w:p w14:paraId="68F8BF08" w14:textId="32B47B05" w:rsidR="006D1D06" w:rsidRPr="00F12C48" w:rsidRDefault="008E101E" w:rsidP="008E101E">
      <w:pPr>
        <w:pStyle w:val="IntrtEEE"/>
        <w:rPr>
          <w:noProof/>
        </w:rPr>
      </w:pPr>
      <w:r w:rsidRPr="008E101E">
        <w:rPr>
          <w:noProof/>
        </w:rPr>
        <w:t>(Text s významom pre EHP)</w:t>
      </w:r>
    </w:p>
    <w:p w14:paraId="29C58613" w14:textId="77777777" w:rsidR="006C7F87" w:rsidRPr="00F12C48" w:rsidRDefault="006C7F87" w:rsidP="0094068A">
      <w:pPr>
        <w:pStyle w:val="Institutionquiagit"/>
        <w:rPr>
          <w:noProof/>
        </w:rPr>
      </w:pPr>
      <w:r w:rsidRPr="00F12C48">
        <w:rPr>
          <w:noProof/>
        </w:rPr>
        <w:t>EURÓPSKY PARLAMENT A RADA EURÓPSKEJ ÚNIE,</w:t>
      </w:r>
    </w:p>
    <w:p w14:paraId="19B55D86" w14:textId="7B77C9C2" w:rsidR="006C7F87" w:rsidRPr="00F12C48" w:rsidRDefault="006C7F87" w:rsidP="0094068A">
      <w:pPr>
        <w:rPr>
          <w:noProof/>
        </w:rPr>
      </w:pPr>
      <w:r w:rsidRPr="00F12C48">
        <w:rPr>
          <w:noProof/>
        </w:rPr>
        <w:t>so zreteľom na Zmluvu</w:t>
      </w:r>
      <w:r w:rsidR="00F12C48">
        <w:rPr>
          <w:noProof/>
        </w:rPr>
        <w:t xml:space="preserve"> o </w:t>
      </w:r>
      <w:r w:rsidRPr="00F12C48">
        <w:rPr>
          <w:noProof/>
        </w:rPr>
        <w:t>fungovaní Európskej únie,</w:t>
      </w:r>
      <w:r w:rsidR="00F12C48">
        <w:rPr>
          <w:noProof/>
        </w:rPr>
        <w:t xml:space="preserve"> a </w:t>
      </w:r>
      <w:r w:rsidRPr="00F12C48">
        <w:rPr>
          <w:noProof/>
        </w:rPr>
        <w:t>najmä na jej články 50</w:t>
      </w:r>
      <w:r w:rsidR="00F12C48">
        <w:rPr>
          <w:noProof/>
        </w:rPr>
        <w:t xml:space="preserve"> a </w:t>
      </w:r>
      <w:r w:rsidRPr="00F12C48">
        <w:rPr>
          <w:noProof/>
        </w:rPr>
        <w:t>114,</w:t>
      </w:r>
    </w:p>
    <w:p w14:paraId="5DD19041" w14:textId="77777777" w:rsidR="006C7F87" w:rsidRPr="00F12C48" w:rsidRDefault="006C7F87" w:rsidP="0094068A">
      <w:pPr>
        <w:rPr>
          <w:noProof/>
        </w:rPr>
      </w:pPr>
      <w:r w:rsidRPr="00F12C48">
        <w:rPr>
          <w:noProof/>
        </w:rPr>
        <w:t>so zreteľom na návrh Európskej komisie,</w:t>
      </w:r>
    </w:p>
    <w:p w14:paraId="4B97FEC1" w14:textId="77777777" w:rsidR="006C7F87" w:rsidRPr="00F12C48" w:rsidRDefault="006C7F87" w:rsidP="0094068A">
      <w:pPr>
        <w:rPr>
          <w:noProof/>
        </w:rPr>
      </w:pPr>
      <w:r w:rsidRPr="00F12C48">
        <w:rPr>
          <w:noProof/>
        </w:rPr>
        <w:t>po postúpení návrhu legislatívneho aktu národným parlamentom,</w:t>
      </w:r>
    </w:p>
    <w:p w14:paraId="29CD37CF" w14:textId="77777777" w:rsidR="00F12C48" w:rsidRDefault="006C7F87" w:rsidP="0094068A">
      <w:pPr>
        <w:rPr>
          <w:noProof/>
        </w:rPr>
      </w:pPr>
      <w:r w:rsidRPr="00F12C48">
        <w:rPr>
          <w:noProof/>
        </w:rPr>
        <w:t>so zreteľom na stanovisko Európskeho hospodárskeho</w:t>
      </w:r>
      <w:r w:rsidR="00F12C48">
        <w:rPr>
          <w:noProof/>
        </w:rPr>
        <w:t xml:space="preserve"> a </w:t>
      </w:r>
      <w:r w:rsidRPr="00F12C48">
        <w:rPr>
          <w:noProof/>
        </w:rPr>
        <w:t>sociálneho výboru</w:t>
      </w:r>
      <w:r w:rsidRPr="00F12C48">
        <w:rPr>
          <w:rStyle w:val="Odkaznapoznmkupodiarou"/>
          <w:noProof/>
        </w:rPr>
        <w:footnoteReference w:id="19"/>
      </w:r>
      <w:r w:rsidRPr="00F12C48">
        <w:rPr>
          <w:noProof/>
        </w:rPr>
        <w:t>,</w:t>
      </w:r>
    </w:p>
    <w:p w14:paraId="41108EF3" w14:textId="5CA7BB67" w:rsidR="006C7F87" w:rsidRPr="00F12C48" w:rsidRDefault="006C7F87" w:rsidP="0094068A">
      <w:pPr>
        <w:rPr>
          <w:noProof/>
        </w:rPr>
      </w:pPr>
      <w:r w:rsidRPr="00F12C48">
        <w:rPr>
          <w:noProof/>
        </w:rPr>
        <w:t>konajúc</w:t>
      </w:r>
      <w:r w:rsidR="00F12C48">
        <w:rPr>
          <w:noProof/>
        </w:rPr>
        <w:t xml:space="preserve"> v </w:t>
      </w:r>
      <w:r w:rsidRPr="00F12C48">
        <w:rPr>
          <w:noProof/>
        </w:rPr>
        <w:t>súlade</w:t>
      </w:r>
      <w:r w:rsidR="00F12C48">
        <w:rPr>
          <w:noProof/>
        </w:rPr>
        <w:t xml:space="preserve"> s </w:t>
      </w:r>
      <w:r w:rsidRPr="00F12C48">
        <w:rPr>
          <w:noProof/>
        </w:rPr>
        <w:t>riadnym legislatívnym postupom,</w:t>
      </w:r>
    </w:p>
    <w:p w14:paraId="3348CFED" w14:textId="77777777" w:rsidR="006C7F87" w:rsidRPr="00F12C48" w:rsidRDefault="006C7F87" w:rsidP="0094068A">
      <w:pPr>
        <w:rPr>
          <w:noProof/>
        </w:rPr>
      </w:pPr>
      <w:r w:rsidRPr="00F12C48">
        <w:rPr>
          <w:noProof/>
        </w:rPr>
        <w:t>keďže:</w:t>
      </w:r>
    </w:p>
    <w:p w14:paraId="0B5D942A" w14:textId="14A872F4" w:rsidR="00D93D4A" w:rsidRPr="00F12C48" w:rsidRDefault="002B6BA0" w:rsidP="002B6BA0">
      <w:pPr>
        <w:pStyle w:val="ManualConsidrant"/>
        <w:rPr>
          <w:noProof/>
        </w:rPr>
      </w:pPr>
      <w:r w:rsidRPr="002B6BA0">
        <w:rPr>
          <w:noProof/>
        </w:rPr>
        <w:t>(1)</w:t>
      </w:r>
      <w:r w:rsidRPr="002B6BA0">
        <w:rPr>
          <w:noProof/>
        </w:rPr>
        <w:tab/>
      </w:r>
      <w:r w:rsidR="3B0C1D98" w:rsidRPr="00F12C48">
        <w:rPr>
          <w:noProof/>
        </w:rPr>
        <w:t>Komisia vo svojom oznámení</w:t>
      </w:r>
      <w:r w:rsidR="00F12C48">
        <w:rPr>
          <w:noProof/>
        </w:rPr>
        <w:t xml:space="preserve"> z </w:t>
      </w:r>
      <w:r w:rsidR="3B0C1D98" w:rsidRPr="00F12C48">
        <w:rPr>
          <w:noProof/>
        </w:rPr>
        <w:t>11</w:t>
      </w:r>
      <w:r w:rsidR="00F12C48">
        <w:rPr>
          <w:noProof/>
        </w:rPr>
        <w:t>. februára</w:t>
      </w:r>
      <w:r w:rsidR="3B0C1D98" w:rsidRPr="00F12C48">
        <w:rPr>
          <w:noProof/>
        </w:rPr>
        <w:t xml:space="preserve"> 2025</w:t>
      </w:r>
      <w:r w:rsidR="00F12C48">
        <w:rPr>
          <w:noProof/>
        </w:rPr>
        <w:t xml:space="preserve"> s </w:t>
      </w:r>
      <w:r w:rsidR="3B0C1D98" w:rsidRPr="00F12C48">
        <w:rPr>
          <w:noProof/>
        </w:rPr>
        <w:t>názvom „Jednoduchšia</w:t>
      </w:r>
      <w:r w:rsidR="00F12C48">
        <w:rPr>
          <w:noProof/>
        </w:rPr>
        <w:t xml:space="preserve"> a </w:t>
      </w:r>
      <w:r w:rsidR="3B0C1D98" w:rsidRPr="00F12C48">
        <w:rPr>
          <w:noProof/>
        </w:rPr>
        <w:t>rýchlejšia Európa: oznámenie</w:t>
      </w:r>
      <w:r w:rsidR="00F12C48">
        <w:rPr>
          <w:noProof/>
        </w:rPr>
        <w:t xml:space="preserve"> o </w:t>
      </w:r>
      <w:r w:rsidR="3B0C1D98" w:rsidRPr="00F12C48">
        <w:rPr>
          <w:noProof/>
        </w:rPr>
        <w:t>vykonávaní</w:t>
      </w:r>
      <w:r w:rsidR="00F12C48">
        <w:rPr>
          <w:noProof/>
        </w:rPr>
        <w:t xml:space="preserve"> a </w:t>
      </w:r>
      <w:r w:rsidR="3B0C1D98" w:rsidRPr="00F12C48">
        <w:rPr>
          <w:noProof/>
        </w:rPr>
        <w:t>zjednodušení“</w:t>
      </w:r>
      <w:r w:rsidR="3B0C1D98" w:rsidRPr="00F12C48">
        <w:rPr>
          <w:rStyle w:val="Odkaznapoznmkupodiarou"/>
          <w:noProof/>
        </w:rPr>
        <w:footnoteReference w:id="20"/>
      </w:r>
      <w:r w:rsidR="3B0C1D98" w:rsidRPr="00F12C48">
        <w:rPr>
          <w:noProof/>
        </w:rPr>
        <w:t xml:space="preserve"> stanovila víziu programu vykonávania</w:t>
      </w:r>
      <w:r w:rsidR="00F12C48">
        <w:rPr>
          <w:noProof/>
        </w:rPr>
        <w:t xml:space="preserve"> a </w:t>
      </w:r>
      <w:r w:rsidR="3B0C1D98" w:rsidRPr="00F12C48">
        <w:rPr>
          <w:noProof/>
        </w:rPr>
        <w:t>zjednodušenia, ktorý ľuďom</w:t>
      </w:r>
      <w:r w:rsidR="00F12C48">
        <w:rPr>
          <w:noProof/>
        </w:rPr>
        <w:t xml:space="preserve"> a </w:t>
      </w:r>
      <w:r w:rsidR="3B0C1D98" w:rsidRPr="00F12C48">
        <w:rPr>
          <w:noProof/>
        </w:rPr>
        <w:t>podnikom prináša rýchle</w:t>
      </w:r>
      <w:r w:rsidR="00F12C48">
        <w:rPr>
          <w:noProof/>
        </w:rPr>
        <w:t xml:space="preserve"> a </w:t>
      </w:r>
      <w:r w:rsidR="3B0C1D98" w:rsidRPr="00F12C48">
        <w:rPr>
          <w:noProof/>
        </w:rPr>
        <w:t>viditeľné zlepšenia</w:t>
      </w:r>
      <w:r w:rsidR="00F12C48">
        <w:rPr>
          <w:noProof/>
        </w:rPr>
        <w:t xml:space="preserve"> v </w:t>
      </w:r>
      <w:r w:rsidR="3B0C1D98" w:rsidRPr="00F12C48">
        <w:rPr>
          <w:noProof/>
        </w:rPr>
        <w:t>praxi. To si vyžaduje viac než len postupný prístup</w:t>
      </w:r>
      <w:r w:rsidR="00F12C48">
        <w:rPr>
          <w:noProof/>
        </w:rPr>
        <w:t xml:space="preserve"> a </w:t>
      </w:r>
      <w:r w:rsidR="3B0C1D98" w:rsidRPr="00F12C48">
        <w:rPr>
          <w:noProof/>
        </w:rPr>
        <w:t>na dosiahnutie tohto cieľa má Únia prijať odvážne opatrenia.</w:t>
      </w:r>
      <w:r w:rsidR="00F12C48">
        <w:rPr>
          <w:noProof/>
        </w:rPr>
        <w:t xml:space="preserve"> V </w:t>
      </w:r>
      <w:r w:rsidR="3B0C1D98" w:rsidRPr="00F12C48">
        <w:rPr>
          <w:noProof/>
        </w:rPr>
        <w:t>záujme zefektívnenia</w:t>
      </w:r>
      <w:r w:rsidR="00F12C48">
        <w:rPr>
          <w:noProof/>
        </w:rPr>
        <w:t xml:space="preserve"> a </w:t>
      </w:r>
      <w:r w:rsidR="3B0C1D98" w:rsidRPr="00F12C48">
        <w:rPr>
          <w:noProof/>
        </w:rPr>
        <w:t>zjednodušenia pravidiel Únie</w:t>
      </w:r>
      <w:r w:rsidR="00F12C48">
        <w:rPr>
          <w:noProof/>
        </w:rPr>
        <w:t xml:space="preserve"> a </w:t>
      </w:r>
      <w:r w:rsidR="3B0C1D98" w:rsidRPr="00F12C48">
        <w:rPr>
          <w:noProof/>
        </w:rPr>
        <w:t>vnútroštátnych</w:t>
      </w:r>
      <w:r w:rsidR="00F12C48">
        <w:rPr>
          <w:noProof/>
        </w:rPr>
        <w:t xml:space="preserve"> a </w:t>
      </w:r>
      <w:r w:rsidR="3B0C1D98" w:rsidRPr="00F12C48">
        <w:rPr>
          <w:noProof/>
        </w:rPr>
        <w:t>regionálnych pravidiel, ako aj</w:t>
      </w:r>
      <w:r w:rsidR="00F12C48">
        <w:rPr>
          <w:noProof/>
        </w:rPr>
        <w:t xml:space="preserve"> v </w:t>
      </w:r>
      <w:r w:rsidR="3B0C1D98" w:rsidRPr="00F12C48">
        <w:rPr>
          <w:noProof/>
        </w:rPr>
        <w:t>záujme účinnejšieho vykonávania politík budú musieť Komisia, Európsky parlament, Rada, orgány členských štátov na všetkých úrovniach</w:t>
      </w:r>
      <w:r w:rsidR="00F12C48">
        <w:rPr>
          <w:noProof/>
        </w:rPr>
        <w:t xml:space="preserve"> a </w:t>
      </w:r>
      <w:r w:rsidR="3B0C1D98" w:rsidRPr="00F12C48">
        <w:rPr>
          <w:noProof/>
        </w:rPr>
        <w:t>zainteresované strany spolupracovať.</w:t>
      </w:r>
    </w:p>
    <w:p w14:paraId="4BBD995C" w14:textId="0B81FBE0" w:rsidR="00F12C48" w:rsidRDefault="002B6BA0" w:rsidP="002B6BA0">
      <w:pPr>
        <w:pStyle w:val="ManualConsidrant"/>
        <w:rPr>
          <w:noProof/>
        </w:rPr>
      </w:pPr>
      <w:r w:rsidRPr="002B6BA0">
        <w:rPr>
          <w:noProof/>
        </w:rPr>
        <w:t>(2)</w:t>
      </w:r>
      <w:r w:rsidRPr="002B6BA0">
        <w:rPr>
          <w:noProof/>
        </w:rPr>
        <w:tab/>
      </w:r>
      <w:r w:rsidR="6C848968" w:rsidRPr="00F12C48">
        <w:rPr>
          <w:noProof/>
        </w:rPr>
        <w:t>V kontexte záväzku Komisie znížiť záťaž spojenú</w:t>
      </w:r>
      <w:r w:rsidR="00F12C48">
        <w:rPr>
          <w:noProof/>
        </w:rPr>
        <w:t xml:space="preserve"> s </w:t>
      </w:r>
      <w:r w:rsidR="6C848968" w:rsidRPr="00F12C48">
        <w:rPr>
          <w:noProof/>
        </w:rPr>
        <w:t>vykazovaním</w:t>
      </w:r>
      <w:r w:rsidR="00F12C48">
        <w:rPr>
          <w:noProof/>
        </w:rPr>
        <w:t xml:space="preserve"> a </w:t>
      </w:r>
      <w:r w:rsidR="6C848968" w:rsidRPr="00F12C48">
        <w:rPr>
          <w:noProof/>
        </w:rPr>
        <w:t>posilniť konkurencieschopnosť je nevyhnutné zaviesť cielené zmeny smerníc Európskeho parlamentu</w:t>
      </w:r>
      <w:r w:rsidR="00F12C48">
        <w:rPr>
          <w:noProof/>
        </w:rPr>
        <w:t xml:space="preserve"> a </w:t>
      </w:r>
      <w:r w:rsidR="6C848968" w:rsidRPr="00F12C48">
        <w:rPr>
          <w:noProof/>
        </w:rPr>
        <w:t>Rady (EÚ) 2022/2464</w:t>
      </w:r>
      <w:r w:rsidR="6C848968" w:rsidRPr="00F12C48">
        <w:rPr>
          <w:rStyle w:val="Odkaznapoznmkupodiarou"/>
          <w:noProof/>
        </w:rPr>
        <w:footnoteReference w:id="21"/>
      </w:r>
      <w:r w:rsidR="00F12C48">
        <w:rPr>
          <w:noProof/>
        </w:rPr>
        <w:t xml:space="preserve"> a </w:t>
      </w:r>
      <w:r w:rsidR="6C848968" w:rsidRPr="00F12C48">
        <w:rPr>
          <w:noProof/>
        </w:rPr>
        <w:t>(EÚ) 2024/1760</w:t>
      </w:r>
      <w:r w:rsidR="6C848968" w:rsidRPr="00F12C48">
        <w:rPr>
          <w:rStyle w:val="Odkaznapoznmkupodiarou"/>
          <w:noProof/>
        </w:rPr>
        <w:footnoteReference w:id="22"/>
      </w:r>
      <w:r w:rsidR="00F12C48">
        <w:rPr>
          <w:noProof/>
        </w:rPr>
        <w:t xml:space="preserve"> v </w:t>
      </w:r>
      <w:r w:rsidR="6C848968" w:rsidRPr="00F12C48">
        <w:rPr>
          <w:noProof/>
        </w:rPr>
        <w:t xml:space="preserve">snahe dosiahnuť tieto </w:t>
      </w:r>
      <w:r w:rsidR="6C848968" w:rsidRPr="00F12C48">
        <w:rPr>
          <w:noProof/>
        </w:rPr>
        <w:lastRenderedPageBreak/>
        <w:t>ciele, pričom by sa zároveň mali zachovať ciele politiky obsiahnuté</w:t>
      </w:r>
      <w:r w:rsidR="00F12C48">
        <w:rPr>
          <w:noProof/>
        </w:rPr>
        <w:t xml:space="preserve"> v </w:t>
      </w:r>
      <w:r w:rsidR="6C848968" w:rsidRPr="00F12C48">
        <w:rPr>
          <w:noProof/>
        </w:rPr>
        <w:t>Zelenej dohode</w:t>
      </w:r>
      <w:r w:rsidR="6C848968" w:rsidRPr="00F12C48">
        <w:rPr>
          <w:rStyle w:val="Odkaznapoznmkupodiarou"/>
          <w:noProof/>
        </w:rPr>
        <w:footnoteReference w:id="23"/>
      </w:r>
      <w:r w:rsidR="00F12C48">
        <w:rPr>
          <w:noProof/>
        </w:rPr>
        <w:t xml:space="preserve"> a </w:t>
      </w:r>
      <w:r w:rsidR="6C848968" w:rsidRPr="00F12C48">
        <w:rPr>
          <w:noProof/>
        </w:rPr>
        <w:t>akčnom pláne</w:t>
      </w:r>
      <w:r w:rsidR="00F12C48">
        <w:rPr>
          <w:noProof/>
        </w:rPr>
        <w:t xml:space="preserve"> o </w:t>
      </w:r>
      <w:r w:rsidR="6C848968" w:rsidRPr="00F12C48">
        <w:rPr>
          <w:noProof/>
        </w:rPr>
        <w:t>udržateľnom financovaní</w:t>
      </w:r>
      <w:r w:rsidR="6C848968" w:rsidRPr="00F12C48">
        <w:rPr>
          <w:rStyle w:val="Odkaznapoznmkupodiarou"/>
          <w:noProof/>
        </w:rPr>
        <w:footnoteReference w:id="24"/>
      </w:r>
      <w:r w:rsidR="00F12C48">
        <w:rPr>
          <w:noProof/>
        </w:rPr>
        <w:t>.</w:t>
      </w:r>
    </w:p>
    <w:p w14:paraId="2F30529C" w14:textId="6F3CD345" w:rsidR="006C7F87" w:rsidRPr="00F12C48" w:rsidRDefault="002B6BA0" w:rsidP="002B6BA0">
      <w:pPr>
        <w:pStyle w:val="ManualConsidrant"/>
        <w:rPr>
          <w:noProof/>
        </w:rPr>
      </w:pPr>
      <w:r w:rsidRPr="002B6BA0">
        <w:rPr>
          <w:noProof/>
        </w:rPr>
        <w:t>(3)</w:t>
      </w:r>
      <w:r w:rsidRPr="002B6BA0">
        <w:rPr>
          <w:noProof/>
        </w:rPr>
        <w:tab/>
      </w:r>
      <w:r w:rsidR="58D6BACA" w:rsidRPr="00F12C48">
        <w:rPr>
          <w:noProof/>
        </w:rPr>
        <w:t>V článku 5 ods. 2 prvom pododseku smernice (EÚ) 2022/2464 sa stanovujú dátumy, od ktorých majú členské štáty uplatňovať požiadavky na vykazovanie informácií</w:t>
      </w:r>
      <w:r w:rsidR="00F12C48">
        <w:rPr>
          <w:noProof/>
        </w:rPr>
        <w:t xml:space="preserve"> o </w:t>
      </w:r>
      <w:r w:rsidR="58D6BACA" w:rsidRPr="00F12C48">
        <w:rPr>
          <w:noProof/>
        </w:rPr>
        <w:t>udržateľnosti stanovené</w:t>
      </w:r>
      <w:r w:rsidR="00F12C48">
        <w:rPr>
          <w:noProof/>
        </w:rPr>
        <w:t xml:space="preserve"> v </w:t>
      </w:r>
      <w:r w:rsidR="58D6BACA" w:rsidRPr="00F12C48">
        <w:rPr>
          <w:noProof/>
        </w:rPr>
        <w:t>smernici Európskeho parlamentu</w:t>
      </w:r>
      <w:r w:rsidR="00F12C48">
        <w:rPr>
          <w:noProof/>
        </w:rPr>
        <w:t xml:space="preserve"> a </w:t>
      </w:r>
      <w:r w:rsidR="58D6BACA" w:rsidRPr="00F12C48">
        <w:rPr>
          <w:noProof/>
        </w:rPr>
        <w:t>Rady 2013/34/EÚ</w:t>
      </w:r>
      <w:r w:rsidR="58D6BACA" w:rsidRPr="00F12C48">
        <w:rPr>
          <w:rStyle w:val="Odkaznapoznmkupodiarou"/>
          <w:noProof/>
        </w:rPr>
        <w:footnoteReference w:id="25"/>
      </w:r>
      <w:r w:rsidR="58D6BACA" w:rsidRPr="00F12C48">
        <w:rPr>
          <w:noProof/>
        </w:rPr>
        <w:t>, pričom</w:t>
      </w:r>
      <w:r w:rsidR="00F12C48">
        <w:rPr>
          <w:noProof/>
        </w:rPr>
        <w:t xml:space="preserve"> v </w:t>
      </w:r>
      <w:r w:rsidR="58D6BACA" w:rsidRPr="00F12C48">
        <w:rPr>
          <w:noProof/>
        </w:rPr>
        <w:t>závislosti od veľkosti dotknutého podniku sú stanovené rozličné dátumy. Veľké podniky, ktoré sú subjektmi verejného záujmu</w:t>
      </w:r>
      <w:r w:rsidR="00F12C48">
        <w:rPr>
          <w:noProof/>
        </w:rPr>
        <w:t xml:space="preserve"> s </w:t>
      </w:r>
      <w:r w:rsidR="58D6BACA" w:rsidRPr="00F12C48">
        <w:rPr>
          <w:noProof/>
        </w:rPr>
        <w:t>priemerným počtom zamestnancov vyšším ako 500 počas účtovného roka,</w:t>
      </w:r>
      <w:r w:rsidR="00F12C48">
        <w:rPr>
          <w:noProof/>
        </w:rPr>
        <w:t xml:space="preserve"> a </w:t>
      </w:r>
      <w:r w:rsidR="58D6BACA" w:rsidRPr="00F12C48">
        <w:rPr>
          <w:noProof/>
        </w:rPr>
        <w:t>subjekty verejného záujmu, ktoré sú materskými podnikmi veľkej skupiny</w:t>
      </w:r>
      <w:r w:rsidR="00F12C48">
        <w:rPr>
          <w:noProof/>
        </w:rPr>
        <w:t xml:space="preserve"> s </w:t>
      </w:r>
      <w:r w:rsidR="58D6BACA" w:rsidRPr="00F12C48">
        <w:rPr>
          <w:noProof/>
        </w:rPr>
        <w:t>priemerným počtom zamestnancov vyšším ako 500</w:t>
      </w:r>
      <w:r w:rsidR="00F12C48">
        <w:rPr>
          <w:noProof/>
        </w:rPr>
        <w:t xml:space="preserve"> k </w:t>
      </w:r>
      <w:r w:rsidR="58D6BACA" w:rsidRPr="00F12C48">
        <w:rPr>
          <w:noProof/>
        </w:rPr>
        <w:t>súvahovému dňu na konsolidovanom základe počas účtovného roka, majú</w:t>
      </w:r>
      <w:r w:rsidR="00F12C48">
        <w:rPr>
          <w:noProof/>
        </w:rPr>
        <w:t xml:space="preserve"> v </w:t>
      </w:r>
      <w:r w:rsidR="58D6BACA" w:rsidRPr="00F12C48">
        <w:rPr>
          <w:noProof/>
        </w:rPr>
        <w:t>roku 2025 vykazovať informácie za účtovné roky začínajúce sa 1</w:t>
      </w:r>
      <w:r w:rsidR="00F12C48">
        <w:rPr>
          <w:noProof/>
        </w:rPr>
        <w:t>. januára</w:t>
      </w:r>
      <w:r w:rsidR="58D6BACA" w:rsidRPr="00F12C48">
        <w:rPr>
          <w:noProof/>
        </w:rPr>
        <w:t xml:space="preserve"> 2024 alebo neskôr. Ostatné veľké podniky</w:t>
      </w:r>
      <w:r w:rsidR="00F12C48">
        <w:rPr>
          <w:noProof/>
        </w:rPr>
        <w:t xml:space="preserve"> a </w:t>
      </w:r>
      <w:r w:rsidR="58D6BACA" w:rsidRPr="00F12C48">
        <w:rPr>
          <w:noProof/>
        </w:rPr>
        <w:t>ostatné materské podniky veľkej skupiny majú</w:t>
      </w:r>
      <w:r w:rsidR="00F12C48">
        <w:rPr>
          <w:noProof/>
        </w:rPr>
        <w:t xml:space="preserve"> v </w:t>
      </w:r>
      <w:r w:rsidR="58D6BACA" w:rsidRPr="00F12C48">
        <w:rPr>
          <w:noProof/>
        </w:rPr>
        <w:t>roku 2026 vykazovať informácie za účtovné roky začínajúce sa 1</w:t>
      </w:r>
      <w:r w:rsidR="00F12C48">
        <w:rPr>
          <w:noProof/>
        </w:rPr>
        <w:t>. januára</w:t>
      </w:r>
      <w:r w:rsidR="58D6BACA" w:rsidRPr="00F12C48">
        <w:rPr>
          <w:noProof/>
        </w:rPr>
        <w:t xml:space="preserve"> 2025 alebo neskôr. Malé</w:t>
      </w:r>
      <w:r w:rsidR="00F12C48">
        <w:rPr>
          <w:noProof/>
        </w:rPr>
        <w:t xml:space="preserve"> a </w:t>
      </w:r>
      <w:r w:rsidR="58D6BACA" w:rsidRPr="00F12C48">
        <w:rPr>
          <w:noProof/>
        </w:rPr>
        <w:t>stredné podniky –</w:t>
      </w:r>
      <w:r w:rsidR="00F12C48">
        <w:rPr>
          <w:noProof/>
        </w:rPr>
        <w:t xml:space="preserve"> s </w:t>
      </w:r>
      <w:r w:rsidR="58D6BACA" w:rsidRPr="00F12C48">
        <w:rPr>
          <w:noProof/>
        </w:rPr>
        <w:t>výnimkou mikropodnikov –, malé</w:t>
      </w:r>
      <w:r w:rsidR="00F12C48">
        <w:rPr>
          <w:noProof/>
        </w:rPr>
        <w:t xml:space="preserve"> a </w:t>
      </w:r>
      <w:r w:rsidR="58D6BACA" w:rsidRPr="00F12C48">
        <w:rPr>
          <w:noProof/>
        </w:rPr>
        <w:t>menej zložité inštitúcie</w:t>
      </w:r>
      <w:r w:rsidR="00F12C48">
        <w:rPr>
          <w:noProof/>
        </w:rPr>
        <w:t xml:space="preserve"> a </w:t>
      </w:r>
      <w:r w:rsidR="58D6BACA" w:rsidRPr="00F12C48">
        <w:rPr>
          <w:noProof/>
        </w:rPr>
        <w:t>kaptívne poisťovne/zaisťovne majú</w:t>
      </w:r>
      <w:r w:rsidR="00F12C48">
        <w:rPr>
          <w:noProof/>
        </w:rPr>
        <w:t xml:space="preserve"> v </w:t>
      </w:r>
      <w:r w:rsidR="58D6BACA" w:rsidRPr="00F12C48">
        <w:rPr>
          <w:noProof/>
        </w:rPr>
        <w:t>roku 2027 vykazovať informácie za účtovné roky začínajúce sa 1</w:t>
      </w:r>
      <w:r w:rsidR="00F12C48">
        <w:rPr>
          <w:noProof/>
        </w:rPr>
        <w:t>. januára</w:t>
      </w:r>
      <w:r w:rsidR="58D6BACA" w:rsidRPr="00F12C48">
        <w:rPr>
          <w:noProof/>
        </w:rPr>
        <w:t xml:space="preserve"> 2026 alebo neskôr. Vzhľadom na prebiehajúce iniciatívy Komisie zamerané na zjednodušenie určitých existujúcich povinností vykazovať informácie</w:t>
      </w:r>
      <w:r w:rsidR="00F12C48">
        <w:rPr>
          <w:noProof/>
        </w:rPr>
        <w:t xml:space="preserve"> o </w:t>
      </w:r>
      <w:r w:rsidR="58D6BACA" w:rsidRPr="00F12C48">
        <w:rPr>
          <w:noProof/>
        </w:rPr>
        <w:t>udržateľnosti</w:t>
      </w:r>
      <w:r w:rsidR="00F12C48">
        <w:rPr>
          <w:noProof/>
        </w:rPr>
        <w:t xml:space="preserve"> a s </w:t>
      </w:r>
      <w:r w:rsidR="58D6BACA" w:rsidRPr="00F12C48">
        <w:rPr>
          <w:noProof/>
        </w:rPr>
        <w:t>cieľom znížiť súvisiacu administratívnu záťaž podnikov, zabezpečiť právnu zrozumiteľnosť</w:t>
      </w:r>
      <w:r w:rsidR="00F12C48">
        <w:rPr>
          <w:noProof/>
        </w:rPr>
        <w:t xml:space="preserve"> a </w:t>
      </w:r>
      <w:r w:rsidR="58D6BACA" w:rsidRPr="00F12C48">
        <w:rPr>
          <w:noProof/>
        </w:rPr>
        <w:t>zamedziť tomu, aby podnikom, od ktorých sa</w:t>
      </w:r>
      <w:r w:rsidR="00F12C48">
        <w:rPr>
          <w:noProof/>
        </w:rPr>
        <w:t xml:space="preserve"> v </w:t>
      </w:r>
      <w:r w:rsidR="58D6BACA" w:rsidRPr="00F12C48">
        <w:rPr>
          <w:noProof/>
        </w:rPr>
        <w:t>súčasnosti vyžaduje vykazovať informácie za účtovné roky začínajúce sa 1</w:t>
      </w:r>
      <w:r w:rsidR="00F12C48">
        <w:rPr>
          <w:noProof/>
        </w:rPr>
        <w:t>. januára</w:t>
      </w:r>
      <w:r w:rsidR="58D6BACA" w:rsidRPr="00F12C48">
        <w:rPr>
          <w:noProof/>
        </w:rPr>
        <w:t xml:space="preserve"> 2025 alebo neskôr</w:t>
      </w:r>
      <w:r w:rsidR="00F12C48">
        <w:rPr>
          <w:noProof/>
        </w:rPr>
        <w:t xml:space="preserve"> a </w:t>
      </w:r>
      <w:r w:rsidR="58D6BACA" w:rsidRPr="00F12C48">
        <w:rPr>
          <w:noProof/>
        </w:rPr>
        <w:t>1</w:t>
      </w:r>
      <w:r w:rsidR="00F12C48">
        <w:rPr>
          <w:noProof/>
        </w:rPr>
        <w:t>. januára</w:t>
      </w:r>
      <w:r w:rsidR="58D6BACA" w:rsidRPr="00F12C48">
        <w:rPr>
          <w:noProof/>
        </w:rPr>
        <w:t xml:space="preserve"> 2026 alebo neskôr, vznikali zbytočné výdavky, ktorým by bolo možné predísť, by sa požiadavky na vykazovanie informácií</w:t>
      </w:r>
      <w:r w:rsidR="00F12C48">
        <w:rPr>
          <w:noProof/>
        </w:rPr>
        <w:t xml:space="preserve"> o </w:t>
      </w:r>
      <w:r w:rsidR="58D6BACA" w:rsidRPr="00F12C48">
        <w:rPr>
          <w:noProof/>
        </w:rPr>
        <w:t>udržateľnosti pre tieto podniky mali odložiť</w:t>
      </w:r>
      <w:r w:rsidR="00F12C48">
        <w:rPr>
          <w:noProof/>
        </w:rPr>
        <w:t xml:space="preserve"> o </w:t>
      </w:r>
      <w:r w:rsidR="58D6BACA" w:rsidRPr="00F12C48">
        <w:rPr>
          <w:noProof/>
        </w:rPr>
        <w:t>dva roky.</w:t>
      </w:r>
    </w:p>
    <w:p w14:paraId="02BC68FA" w14:textId="476B021C" w:rsidR="00F12C48" w:rsidRDefault="002B6BA0" w:rsidP="002B6BA0">
      <w:pPr>
        <w:pStyle w:val="ManualConsidrant"/>
        <w:rPr>
          <w:noProof/>
        </w:rPr>
      </w:pPr>
      <w:r w:rsidRPr="002B6BA0">
        <w:rPr>
          <w:noProof/>
        </w:rPr>
        <w:t>(4)</w:t>
      </w:r>
      <w:r w:rsidRPr="002B6BA0">
        <w:rPr>
          <w:noProof/>
        </w:rPr>
        <w:tab/>
      </w:r>
      <w:r w:rsidR="64BE5097" w:rsidRPr="00F12C48">
        <w:rPr>
          <w:noProof/>
        </w:rPr>
        <w:t>V článku 5 ods. 2 treťom pododseku smernice (EÚ) 2022/2464 sa stanovujú dátumy, od ktorých majú členské štáty uplatňovať požiadavky na vykazovanie informácií</w:t>
      </w:r>
      <w:r w:rsidR="00F12C48">
        <w:rPr>
          <w:noProof/>
        </w:rPr>
        <w:t xml:space="preserve"> o </w:t>
      </w:r>
      <w:r w:rsidR="64BE5097" w:rsidRPr="00F12C48">
        <w:rPr>
          <w:noProof/>
        </w:rPr>
        <w:t>udržateľnosti stanovené</w:t>
      </w:r>
      <w:r w:rsidR="00F12C48">
        <w:rPr>
          <w:noProof/>
        </w:rPr>
        <w:t xml:space="preserve"> v </w:t>
      </w:r>
      <w:r w:rsidR="64BE5097" w:rsidRPr="00F12C48">
        <w:rPr>
          <w:noProof/>
        </w:rPr>
        <w:t>smernici Európskeho parlamentu</w:t>
      </w:r>
      <w:r w:rsidR="00F12C48">
        <w:rPr>
          <w:noProof/>
        </w:rPr>
        <w:t xml:space="preserve"> a </w:t>
      </w:r>
      <w:r w:rsidR="64BE5097" w:rsidRPr="00F12C48">
        <w:rPr>
          <w:noProof/>
        </w:rPr>
        <w:t>Rady 2004/109/ES</w:t>
      </w:r>
      <w:r w:rsidR="64BE5097" w:rsidRPr="00F12C48">
        <w:rPr>
          <w:rStyle w:val="Odkaznapoznmkupodiarou"/>
          <w:noProof/>
        </w:rPr>
        <w:footnoteReference w:id="26"/>
      </w:r>
      <w:r w:rsidR="64BE5097" w:rsidRPr="00F12C48">
        <w:rPr>
          <w:noProof/>
        </w:rPr>
        <w:t>, pričom</w:t>
      </w:r>
      <w:r w:rsidR="00F12C48">
        <w:rPr>
          <w:noProof/>
        </w:rPr>
        <w:t xml:space="preserve"> v </w:t>
      </w:r>
      <w:r w:rsidR="64BE5097" w:rsidRPr="00F12C48">
        <w:rPr>
          <w:noProof/>
        </w:rPr>
        <w:t>závislosti od veľkosti dotknutého emitenta sú stanovené rozličné dátumy. Emitenti, ktorí sú veľkými podnikmi</w:t>
      </w:r>
      <w:r w:rsidR="00F12C48">
        <w:rPr>
          <w:noProof/>
        </w:rPr>
        <w:t xml:space="preserve"> s </w:t>
      </w:r>
      <w:r w:rsidR="64BE5097" w:rsidRPr="00F12C48">
        <w:rPr>
          <w:noProof/>
        </w:rPr>
        <w:t>priemerným počtom zamestnancov vyšším ako 500 počas účtovného roka,</w:t>
      </w:r>
      <w:r w:rsidR="00F12C48">
        <w:rPr>
          <w:noProof/>
        </w:rPr>
        <w:t xml:space="preserve"> a </w:t>
      </w:r>
      <w:r w:rsidR="64BE5097" w:rsidRPr="00F12C48">
        <w:rPr>
          <w:noProof/>
        </w:rPr>
        <w:t>emitenti, ktorí sú materskými podnikmi veľkej skupiny</w:t>
      </w:r>
      <w:r w:rsidR="00F12C48">
        <w:rPr>
          <w:noProof/>
        </w:rPr>
        <w:t xml:space="preserve"> s </w:t>
      </w:r>
      <w:r w:rsidR="64BE5097" w:rsidRPr="00F12C48">
        <w:rPr>
          <w:noProof/>
        </w:rPr>
        <w:t>priemerným počtom zamestnancov vyšším ako 500</w:t>
      </w:r>
      <w:r w:rsidR="00F12C48">
        <w:rPr>
          <w:noProof/>
        </w:rPr>
        <w:t xml:space="preserve"> k </w:t>
      </w:r>
      <w:r w:rsidR="64BE5097" w:rsidRPr="00F12C48">
        <w:rPr>
          <w:noProof/>
        </w:rPr>
        <w:t>súvahovému dňu na konsolidovanom základe počas účtovného roka, majú</w:t>
      </w:r>
      <w:r w:rsidR="00F12C48">
        <w:rPr>
          <w:noProof/>
        </w:rPr>
        <w:t xml:space="preserve"> v </w:t>
      </w:r>
      <w:r w:rsidR="64BE5097" w:rsidRPr="00F12C48">
        <w:rPr>
          <w:noProof/>
        </w:rPr>
        <w:t>roku 2025 vykazovať informácie za účtovné roky začínajúce sa 1</w:t>
      </w:r>
      <w:r w:rsidR="00F12C48">
        <w:rPr>
          <w:noProof/>
        </w:rPr>
        <w:t>. januára</w:t>
      </w:r>
      <w:r w:rsidR="64BE5097" w:rsidRPr="00F12C48">
        <w:rPr>
          <w:noProof/>
        </w:rPr>
        <w:t xml:space="preserve"> 2024 alebo neskôr. Ostatní emitenti, ktorí sú veľkými podnikmi,</w:t>
      </w:r>
      <w:r w:rsidR="00F12C48">
        <w:rPr>
          <w:noProof/>
        </w:rPr>
        <w:t xml:space="preserve"> a </w:t>
      </w:r>
      <w:r w:rsidR="64BE5097" w:rsidRPr="00F12C48">
        <w:rPr>
          <w:noProof/>
        </w:rPr>
        <w:t>ostatní emitenti, ktorí sú materskými podnikmi veľkej skupiny, majú</w:t>
      </w:r>
      <w:r w:rsidR="00F12C48">
        <w:rPr>
          <w:noProof/>
        </w:rPr>
        <w:t xml:space="preserve"> v </w:t>
      </w:r>
      <w:r w:rsidR="64BE5097" w:rsidRPr="00F12C48">
        <w:rPr>
          <w:noProof/>
        </w:rPr>
        <w:t>roku 2026 vykazovať informácie za účtovné roky začínajúce sa 1</w:t>
      </w:r>
      <w:r w:rsidR="00F12C48">
        <w:rPr>
          <w:noProof/>
        </w:rPr>
        <w:t>. januára</w:t>
      </w:r>
      <w:r w:rsidR="64BE5097" w:rsidRPr="00F12C48">
        <w:rPr>
          <w:noProof/>
        </w:rPr>
        <w:t xml:space="preserve"> 2025 alebo neskôr. Emitenti, ktorí sú malými</w:t>
      </w:r>
      <w:r w:rsidR="00F12C48">
        <w:rPr>
          <w:noProof/>
        </w:rPr>
        <w:t xml:space="preserve"> a </w:t>
      </w:r>
      <w:r w:rsidR="64BE5097" w:rsidRPr="00F12C48">
        <w:rPr>
          <w:noProof/>
        </w:rPr>
        <w:t>strednými podnikmi –</w:t>
      </w:r>
      <w:r w:rsidR="00F12C48">
        <w:rPr>
          <w:noProof/>
        </w:rPr>
        <w:t xml:space="preserve"> s </w:t>
      </w:r>
      <w:r w:rsidR="64BE5097" w:rsidRPr="00F12C48">
        <w:rPr>
          <w:noProof/>
        </w:rPr>
        <w:t>výnimkou mikropodnikov –, malými</w:t>
      </w:r>
      <w:r w:rsidR="00F12C48">
        <w:rPr>
          <w:noProof/>
        </w:rPr>
        <w:t xml:space="preserve"> a </w:t>
      </w:r>
      <w:r w:rsidR="64BE5097" w:rsidRPr="00F12C48">
        <w:rPr>
          <w:noProof/>
        </w:rPr>
        <w:t>menej zložitými inštitúciami</w:t>
      </w:r>
      <w:r w:rsidR="00F12C48">
        <w:rPr>
          <w:noProof/>
        </w:rPr>
        <w:t xml:space="preserve"> a </w:t>
      </w:r>
      <w:r w:rsidR="64BE5097" w:rsidRPr="00F12C48">
        <w:rPr>
          <w:noProof/>
        </w:rPr>
        <w:t xml:space="preserve">kaptívnymi </w:t>
      </w:r>
      <w:r w:rsidR="64BE5097" w:rsidRPr="00F12C48">
        <w:rPr>
          <w:noProof/>
        </w:rPr>
        <w:lastRenderedPageBreak/>
        <w:t>poisťovňami/zaisťovňami, majú</w:t>
      </w:r>
      <w:r w:rsidR="00F12C48">
        <w:rPr>
          <w:noProof/>
        </w:rPr>
        <w:t xml:space="preserve"> v </w:t>
      </w:r>
      <w:r w:rsidR="64BE5097" w:rsidRPr="00F12C48">
        <w:rPr>
          <w:noProof/>
        </w:rPr>
        <w:t>roku 2027 vykazovať informácie za účtovné roky začínajúce sa 1</w:t>
      </w:r>
      <w:r w:rsidR="00F12C48">
        <w:rPr>
          <w:noProof/>
        </w:rPr>
        <w:t>. januára</w:t>
      </w:r>
      <w:r w:rsidR="64BE5097" w:rsidRPr="00F12C48">
        <w:rPr>
          <w:noProof/>
        </w:rPr>
        <w:t xml:space="preserve"> 2026 alebo neskôr. Vzhľadom na prebiehajúce iniciatívy Komisie zamerané na zjednodušenie určitých existujúcich povinností vykazovať informácie</w:t>
      </w:r>
      <w:r w:rsidR="00F12C48">
        <w:rPr>
          <w:noProof/>
        </w:rPr>
        <w:t xml:space="preserve"> o </w:t>
      </w:r>
      <w:r w:rsidR="64BE5097" w:rsidRPr="00F12C48">
        <w:rPr>
          <w:noProof/>
        </w:rPr>
        <w:t>udržateľnosti</w:t>
      </w:r>
      <w:r w:rsidR="00F12C48">
        <w:rPr>
          <w:noProof/>
        </w:rPr>
        <w:t xml:space="preserve"> a s </w:t>
      </w:r>
      <w:r w:rsidR="64BE5097" w:rsidRPr="00F12C48">
        <w:rPr>
          <w:noProof/>
        </w:rPr>
        <w:t>cieľom znížiť súvisiacu administratívnu záťaž podnikov, zabezpečiť právnu zrozumiteľnosť</w:t>
      </w:r>
      <w:r w:rsidR="00F12C48">
        <w:rPr>
          <w:noProof/>
        </w:rPr>
        <w:t xml:space="preserve"> a </w:t>
      </w:r>
      <w:r w:rsidR="64BE5097" w:rsidRPr="00F12C48">
        <w:rPr>
          <w:noProof/>
        </w:rPr>
        <w:t>zamedziť tomu, aby emitentom, od ktorých sa</w:t>
      </w:r>
      <w:r w:rsidR="00F12C48">
        <w:rPr>
          <w:noProof/>
        </w:rPr>
        <w:t xml:space="preserve"> v </w:t>
      </w:r>
      <w:r w:rsidR="64BE5097" w:rsidRPr="00F12C48">
        <w:rPr>
          <w:noProof/>
        </w:rPr>
        <w:t>súčasnosti vyžaduje vykazovať informácie za účtovné roky začínajúce sa 1</w:t>
      </w:r>
      <w:r w:rsidR="00F12C48">
        <w:rPr>
          <w:noProof/>
        </w:rPr>
        <w:t>. januára</w:t>
      </w:r>
      <w:r w:rsidR="64BE5097" w:rsidRPr="00F12C48">
        <w:rPr>
          <w:noProof/>
        </w:rPr>
        <w:t xml:space="preserve"> 2025 alebo neskôr</w:t>
      </w:r>
      <w:r w:rsidR="00F12C48">
        <w:rPr>
          <w:noProof/>
        </w:rPr>
        <w:t xml:space="preserve"> a </w:t>
      </w:r>
      <w:r w:rsidR="64BE5097" w:rsidRPr="00F12C48">
        <w:rPr>
          <w:noProof/>
        </w:rPr>
        <w:t>1</w:t>
      </w:r>
      <w:r w:rsidR="00F12C48">
        <w:rPr>
          <w:noProof/>
        </w:rPr>
        <w:t>. januára</w:t>
      </w:r>
      <w:r w:rsidR="64BE5097" w:rsidRPr="00F12C48">
        <w:rPr>
          <w:noProof/>
        </w:rPr>
        <w:t xml:space="preserve"> 2026 alebo neskôr, vznikali zbytočné výdavky, ktorým by bolo možné predísť, by sa požiadavky na vykazovanie informácií</w:t>
      </w:r>
      <w:r w:rsidR="00F12C48">
        <w:rPr>
          <w:noProof/>
        </w:rPr>
        <w:t xml:space="preserve"> o </w:t>
      </w:r>
      <w:r w:rsidR="64BE5097" w:rsidRPr="00F12C48">
        <w:rPr>
          <w:noProof/>
        </w:rPr>
        <w:t>udržateľnosti pre týchto emitentov mali odložiť</w:t>
      </w:r>
      <w:r w:rsidR="00F12C48">
        <w:rPr>
          <w:noProof/>
        </w:rPr>
        <w:t xml:space="preserve"> o </w:t>
      </w:r>
      <w:r w:rsidR="64BE5097" w:rsidRPr="00F12C48">
        <w:rPr>
          <w:noProof/>
        </w:rPr>
        <w:t>dva roky</w:t>
      </w:r>
      <w:r w:rsidR="00F12C48">
        <w:rPr>
          <w:noProof/>
        </w:rPr>
        <w:t>.</w:t>
      </w:r>
    </w:p>
    <w:p w14:paraId="400C5F81" w14:textId="4B604605" w:rsidR="00C7534A" w:rsidRPr="00F12C48" w:rsidRDefault="002B6BA0" w:rsidP="002B6BA0">
      <w:pPr>
        <w:pStyle w:val="ManualConsidrant"/>
        <w:rPr>
          <w:noProof/>
          <w:sz w:val="22"/>
        </w:rPr>
      </w:pPr>
      <w:r w:rsidRPr="002B6BA0">
        <w:rPr>
          <w:noProof/>
        </w:rPr>
        <w:t>(5)</w:t>
      </w:r>
      <w:r w:rsidRPr="002B6BA0">
        <w:rPr>
          <w:noProof/>
        </w:rPr>
        <w:tab/>
      </w:r>
      <w:r w:rsidR="1E77F9F9" w:rsidRPr="00F12C48">
        <w:rPr>
          <w:noProof/>
        </w:rPr>
        <w:t>Dátum, do ktorého majú členské štáty začať uplatňovať smernicu 2024/1760, by sa mal odložiť</w:t>
      </w:r>
      <w:r w:rsidR="00F12C48">
        <w:rPr>
          <w:noProof/>
        </w:rPr>
        <w:t xml:space="preserve"> o </w:t>
      </w:r>
      <w:r w:rsidR="1E77F9F9" w:rsidRPr="00F12C48">
        <w:rPr>
          <w:noProof/>
        </w:rPr>
        <w:t>jeden rok</w:t>
      </w:r>
      <w:r w:rsidR="00F12C48">
        <w:rPr>
          <w:noProof/>
        </w:rPr>
        <w:t xml:space="preserve"> v </w:t>
      </w:r>
      <w:r w:rsidR="1E77F9F9" w:rsidRPr="00F12C48">
        <w:rPr>
          <w:noProof/>
        </w:rPr>
        <w:t>prípade prvej skupiny spoločností patriacich do rozsahu pôsobnosti uvedenej smernice, aby sa spoločnostiam poskytlo viac času pripraviť sa na požiadavky uvedenej smernice</w:t>
      </w:r>
      <w:r w:rsidR="00F12C48">
        <w:rPr>
          <w:noProof/>
        </w:rPr>
        <w:t xml:space="preserve"> a </w:t>
      </w:r>
      <w:r w:rsidR="1E77F9F9" w:rsidRPr="00F12C48">
        <w:rPr>
          <w:noProof/>
        </w:rPr>
        <w:t>aby mohli zohľadniť usmernenia, ktoré má vydať Komisia</w:t>
      </w:r>
      <w:r w:rsidR="00F12C48">
        <w:rPr>
          <w:noProof/>
        </w:rPr>
        <w:t xml:space="preserve"> o </w:t>
      </w:r>
      <w:r w:rsidR="1E77F9F9" w:rsidRPr="00F12C48">
        <w:rPr>
          <w:noProof/>
        </w:rPr>
        <w:t>tom, ako by mali prakticky plniť svoje povinnosti náležitej starostlivosti.</w:t>
      </w:r>
    </w:p>
    <w:p w14:paraId="35B8A052" w14:textId="11642EB3" w:rsidR="002E2D55" w:rsidRPr="00F12C48" w:rsidRDefault="002B6BA0" w:rsidP="002B6BA0">
      <w:pPr>
        <w:pStyle w:val="ManualConsidrant"/>
        <w:rPr>
          <w:noProof/>
        </w:rPr>
      </w:pPr>
      <w:r w:rsidRPr="002B6BA0">
        <w:rPr>
          <w:noProof/>
        </w:rPr>
        <w:t>(6)</w:t>
      </w:r>
      <w:r w:rsidRPr="002B6BA0">
        <w:rPr>
          <w:noProof/>
        </w:rPr>
        <w:tab/>
      </w:r>
      <w:r w:rsidR="1E77F9F9" w:rsidRPr="00F12C48">
        <w:rPr>
          <w:noProof/>
        </w:rPr>
        <w:t>Okrem toho vzhľadom na súbežný legislatívny návrh zameraný na zjednodušenie rámca udržateľnosti</w:t>
      </w:r>
      <w:r w:rsidR="00F12C48">
        <w:rPr>
          <w:noProof/>
        </w:rPr>
        <w:t xml:space="preserve"> a </w:t>
      </w:r>
      <w:r w:rsidR="1E77F9F9" w:rsidRPr="00F12C48">
        <w:rPr>
          <w:noProof/>
        </w:rPr>
        <w:t>zníženie zaťaženia spoločností by sa lehota pre členské štáty na transpozíciu smernice 2024/1760 mala predĺžiť</w:t>
      </w:r>
      <w:r w:rsidR="00F12C48">
        <w:rPr>
          <w:noProof/>
        </w:rPr>
        <w:t xml:space="preserve"> o </w:t>
      </w:r>
      <w:r w:rsidR="1E77F9F9" w:rsidRPr="00F12C48">
        <w:rPr>
          <w:noProof/>
        </w:rPr>
        <w:t>jeden rok, aby sa zohľadnili možné oneskorenia</w:t>
      </w:r>
      <w:r w:rsidR="00F12C48">
        <w:rPr>
          <w:noProof/>
        </w:rPr>
        <w:t xml:space="preserve"> v </w:t>
      </w:r>
      <w:r w:rsidR="1E77F9F9" w:rsidRPr="00F12C48">
        <w:rPr>
          <w:noProof/>
        </w:rPr>
        <w:t>ich prebiehajúcom úsilí</w:t>
      </w:r>
      <w:r w:rsidR="00F12C48">
        <w:rPr>
          <w:noProof/>
        </w:rPr>
        <w:t xml:space="preserve"> o </w:t>
      </w:r>
      <w:r w:rsidR="1E77F9F9" w:rsidRPr="00F12C48">
        <w:rPr>
          <w:noProof/>
        </w:rPr>
        <w:t>transpozíciu</w:t>
      </w:r>
      <w:r w:rsidR="00F12C48">
        <w:rPr>
          <w:noProof/>
        </w:rPr>
        <w:t xml:space="preserve"> v </w:t>
      </w:r>
      <w:r w:rsidR="1E77F9F9" w:rsidRPr="00F12C48">
        <w:rPr>
          <w:noProof/>
        </w:rPr>
        <w:t>dôsledku možných zmien uvedenej smernice.</w:t>
      </w:r>
    </w:p>
    <w:p w14:paraId="06EB3612" w14:textId="25FA60E6" w:rsidR="002E2D55" w:rsidRPr="00F12C48" w:rsidRDefault="002B6BA0" w:rsidP="002B6BA0">
      <w:pPr>
        <w:pStyle w:val="ManualConsidrant"/>
        <w:rPr>
          <w:noProof/>
        </w:rPr>
      </w:pPr>
      <w:r w:rsidRPr="002B6BA0">
        <w:rPr>
          <w:noProof/>
        </w:rPr>
        <w:t>(7)</w:t>
      </w:r>
      <w:r w:rsidRPr="002B6BA0">
        <w:rPr>
          <w:noProof/>
        </w:rPr>
        <w:tab/>
      </w:r>
      <w:r w:rsidR="5260DB5D" w:rsidRPr="00F12C48">
        <w:rPr>
          <w:noProof/>
          <w:shd w:val="clear" w:color="auto" w:fill="FFFFFF"/>
        </w:rPr>
        <w:t>Keďže ciele tejto smernice nie je možné uspokojivo dosiahnuť na úrovni členských štátov, ale</w:t>
      </w:r>
      <w:r w:rsidR="00F12C48">
        <w:rPr>
          <w:noProof/>
          <w:shd w:val="clear" w:color="auto" w:fill="FFFFFF"/>
        </w:rPr>
        <w:t xml:space="preserve"> z </w:t>
      </w:r>
      <w:r w:rsidR="5260DB5D" w:rsidRPr="00F12C48">
        <w:rPr>
          <w:noProof/>
          <w:shd w:val="clear" w:color="auto" w:fill="FFFFFF"/>
        </w:rPr>
        <w:t>dôvodov rozsahu alebo účinkov činnosti ich možno lepšie dosiahnuť na úrovni Únie, môže Únia prijať opatrenia</w:t>
      </w:r>
      <w:r w:rsidR="00F12C48">
        <w:rPr>
          <w:noProof/>
          <w:shd w:val="clear" w:color="auto" w:fill="FFFFFF"/>
        </w:rPr>
        <w:t xml:space="preserve"> v </w:t>
      </w:r>
      <w:r w:rsidR="5260DB5D" w:rsidRPr="00F12C48">
        <w:rPr>
          <w:noProof/>
          <w:shd w:val="clear" w:color="auto" w:fill="FFFFFF"/>
        </w:rPr>
        <w:t>súlade so zásadou subsidiarity podľa článku 5 Zmluvy</w:t>
      </w:r>
      <w:r w:rsidR="00F12C48">
        <w:rPr>
          <w:noProof/>
          <w:shd w:val="clear" w:color="auto" w:fill="FFFFFF"/>
        </w:rPr>
        <w:t xml:space="preserve"> o </w:t>
      </w:r>
      <w:r w:rsidR="5260DB5D" w:rsidRPr="00F12C48">
        <w:rPr>
          <w:noProof/>
          <w:shd w:val="clear" w:color="auto" w:fill="FFFFFF"/>
        </w:rPr>
        <w:t>Európskej únii.</w:t>
      </w:r>
      <w:r w:rsidR="00F12C48">
        <w:rPr>
          <w:noProof/>
          <w:shd w:val="clear" w:color="auto" w:fill="FFFFFF"/>
        </w:rPr>
        <w:t xml:space="preserve"> V </w:t>
      </w:r>
      <w:r w:rsidR="5260DB5D" w:rsidRPr="00F12C48">
        <w:rPr>
          <w:noProof/>
          <w:shd w:val="clear" w:color="auto" w:fill="FFFFFF"/>
        </w:rPr>
        <w:t>súlade so zásadou proporcionality podľa uvedeného článku táto smernica neprekračuje rámec nevyhnutný na dosiahnutie týchto cieľov.</w:t>
      </w:r>
    </w:p>
    <w:p w14:paraId="08860092" w14:textId="1B0EE881" w:rsidR="00922DE6" w:rsidRPr="00F12C48" w:rsidRDefault="002B6BA0" w:rsidP="002B6BA0">
      <w:pPr>
        <w:pStyle w:val="ManualConsidrant"/>
        <w:rPr>
          <w:noProof/>
        </w:rPr>
      </w:pPr>
      <w:r w:rsidRPr="002B6BA0">
        <w:rPr>
          <w:noProof/>
        </w:rPr>
        <w:t>(8)</w:t>
      </w:r>
      <w:r w:rsidRPr="002B6BA0">
        <w:rPr>
          <w:noProof/>
        </w:rPr>
        <w:tab/>
      </w:r>
      <w:r w:rsidR="5260DB5D" w:rsidRPr="00F12C48">
        <w:rPr>
          <w:noProof/>
        </w:rPr>
        <w:t>Smernice (EÚ) 2022/2464</w:t>
      </w:r>
      <w:r w:rsidR="00F12C48">
        <w:rPr>
          <w:noProof/>
        </w:rPr>
        <w:t xml:space="preserve"> a </w:t>
      </w:r>
      <w:r w:rsidR="5260DB5D" w:rsidRPr="00F12C48">
        <w:rPr>
          <w:noProof/>
        </w:rPr>
        <w:t>(EÚ) 2024/1760 by sa preto mali zodpovedajúcim spôsobom zmeniť.</w:t>
      </w:r>
    </w:p>
    <w:p w14:paraId="17D0A514" w14:textId="4A3980CC" w:rsidR="002E2D55" w:rsidRPr="00F12C48" w:rsidRDefault="002B6BA0" w:rsidP="002B6BA0">
      <w:pPr>
        <w:pStyle w:val="ManualConsidrant"/>
        <w:rPr>
          <w:noProof/>
        </w:rPr>
      </w:pPr>
      <w:r w:rsidRPr="002B6BA0">
        <w:rPr>
          <w:noProof/>
        </w:rPr>
        <w:t>(9)</w:t>
      </w:r>
      <w:r w:rsidRPr="002B6BA0">
        <w:rPr>
          <w:noProof/>
        </w:rPr>
        <w:tab/>
      </w:r>
      <w:r w:rsidR="4D4898BF" w:rsidRPr="00F12C48">
        <w:rPr>
          <w:noProof/>
        </w:rPr>
        <w:t>Z dôvodu naliehavosti</w:t>
      </w:r>
      <w:r w:rsidR="00F12C48">
        <w:rPr>
          <w:noProof/>
        </w:rPr>
        <w:t xml:space="preserve"> a </w:t>
      </w:r>
      <w:r w:rsidR="4D4898BF" w:rsidRPr="00F12C48">
        <w:rPr>
          <w:noProof/>
        </w:rPr>
        <w:t>čo najrýchlejšieho zabezpečenia právnej istoty by táto smernica mala nadobudnúť účinnosť dňom nasledujúcim po jej uverejnení,</w:t>
      </w:r>
    </w:p>
    <w:p w14:paraId="3A59A10B" w14:textId="77777777" w:rsidR="006C7F87" w:rsidRPr="00F12C48" w:rsidRDefault="006C7F87" w:rsidP="0094068A">
      <w:pPr>
        <w:pStyle w:val="Formuledadoption"/>
        <w:rPr>
          <w:noProof/>
        </w:rPr>
      </w:pPr>
      <w:r w:rsidRPr="00F12C48">
        <w:rPr>
          <w:noProof/>
        </w:rPr>
        <w:t>PRIJALI TÚTO SMERNICU:</w:t>
      </w:r>
    </w:p>
    <w:p w14:paraId="1B84065B" w14:textId="77777777" w:rsidR="006C7F87" w:rsidRPr="00F12C48" w:rsidRDefault="006C7F87" w:rsidP="0094068A">
      <w:pPr>
        <w:pStyle w:val="Titrearticle"/>
        <w:rPr>
          <w:noProof/>
        </w:rPr>
      </w:pPr>
      <w:r w:rsidRPr="00F12C48">
        <w:rPr>
          <w:noProof/>
        </w:rPr>
        <w:t>Článok 1</w:t>
      </w:r>
    </w:p>
    <w:p w14:paraId="32F47EFE" w14:textId="77777777" w:rsidR="006C7F87" w:rsidRPr="00F12C48" w:rsidRDefault="001C785F" w:rsidP="000D5AA7">
      <w:pPr>
        <w:pStyle w:val="Titrearticle"/>
        <w:rPr>
          <w:b/>
          <w:bCs/>
          <w:i w:val="0"/>
          <w:iCs/>
          <w:noProof/>
        </w:rPr>
      </w:pPr>
      <w:r w:rsidRPr="00F12C48">
        <w:rPr>
          <w:b/>
          <w:i w:val="0"/>
          <w:noProof/>
        </w:rPr>
        <w:t>Zmeny smernice (EÚ) 2022/2464</w:t>
      </w:r>
    </w:p>
    <w:p w14:paraId="68B89702" w14:textId="77777777" w:rsidR="000D5AA7" w:rsidRPr="00F12C48" w:rsidRDefault="000C13CE" w:rsidP="000D5AA7">
      <w:pPr>
        <w:rPr>
          <w:noProof/>
        </w:rPr>
      </w:pPr>
      <w:r w:rsidRPr="00F12C48">
        <w:rPr>
          <w:noProof/>
        </w:rPr>
        <w:t>V smernici (EÚ) 2022/2464 sa článok 5 ods. 2 mení takto:</w:t>
      </w:r>
    </w:p>
    <w:p w14:paraId="0C862589" w14:textId="1775547E" w:rsidR="00922DE6" w:rsidRPr="00F12C48" w:rsidRDefault="004269D6" w:rsidP="004269D6">
      <w:pPr>
        <w:pStyle w:val="Point0"/>
        <w:rPr>
          <w:noProof/>
        </w:rPr>
      </w:pPr>
      <w:r>
        <w:rPr>
          <w:noProof/>
        </w:rPr>
        <w:t>1)</w:t>
      </w:r>
      <w:r>
        <w:rPr>
          <w:noProof/>
        </w:rPr>
        <w:tab/>
      </w:r>
      <w:r w:rsidR="0059025E" w:rsidRPr="00F12C48">
        <w:rPr>
          <w:noProof/>
        </w:rPr>
        <w:t>Prvý pododsek sa mení takto:</w:t>
      </w:r>
    </w:p>
    <w:p w14:paraId="115AAB46" w14:textId="497015F4" w:rsidR="00820DCA" w:rsidRPr="00F12C48" w:rsidRDefault="004269D6" w:rsidP="004269D6">
      <w:pPr>
        <w:pStyle w:val="Point1"/>
        <w:rPr>
          <w:noProof/>
        </w:rPr>
      </w:pPr>
      <w:r>
        <w:rPr>
          <w:noProof/>
        </w:rPr>
        <w:t>a)</w:t>
      </w:r>
      <w:r>
        <w:rPr>
          <w:noProof/>
        </w:rPr>
        <w:tab/>
      </w:r>
      <w:r w:rsidR="00922DE6" w:rsidRPr="00F12C48">
        <w:rPr>
          <w:noProof/>
        </w:rPr>
        <w:t>v písmene b) sa úvodná časť nahrádza takto:</w:t>
      </w:r>
    </w:p>
    <w:p w14:paraId="5E69603D" w14:textId="4F8E0C61" w:rsidR="00820DCA" w:rsidRPr="00F12C48" w:rsidRDefault="00820DCA" w:rsidP="000A30FC">
      <w:pPr>
        <w:ind w:left="1418"/>
        <w:rPr>
          <w:noProof/>
        </w:rPr>
      </w:pPr>
      <w:r w:rsidRPr="00F12C48">
        <w:rPr>
          <w:noProof/>
        </w:rPr>
        <w:t>„v prípade účtovných rokov, ktoré začínajú 1</w:t>
      </w:r>
      <w:r w:rsidR="00F12C48">
        <w:rPr>
          <w:noProof/>
        </w:rPr>
        <w:t>. januára</w:t>
      </w:r>
      <w:r w:rsidRPr="00F12C48">
        <w:rPr>
          <w:noProof/>
        </w:rPr>
        <w:t xml:space="preserve"> 2027 alebo neskôr:“;</w:t>
      </w:r>
    </w:p>
    <w:p w14:paraId="0B9DECC3" w14:textId="0ACBF688" w:rsidR="00573C2F" w:rsidRPr="00F12C48" w:rsidRDefault="004269D6" w:rsidP="004269D6">
      <w:pPr>
        <w:pStyle w:val="Point1"/>
        <w:rPr>
          <w:noProof/>
        </w:rPr>
      </w:pPr>
      <w:r>
        <w:rPr>
          <w:noProof/>
        </w:rPr>
        <w:t>b)</w:t>
      </w:r>
      <w:r>
        <w:rPr>
          <w:noProof/>
        </w:rPr>
        <w:tab/>
      </w:r>
      <w:r w:rsidR="007C593B" w:rsidRPr="00F12C48">
        <w:rPr>
          <w:noProof/>
        </w:rPr>
        <w:t>v písmene c) sa úvodná časť nahrádza takto:</w:t>
      </w:r>
    </w:p>
    <w:p w14:paraId="4490BE32" w14:textId="4F20A80A" w:rsidR="00573C2F" w:rsidRPr="00F12C48" w:rsidRDefault="00573C2F" w:rsidP="000A30FC">
      <w:pPr>
        <w:ind w:left="1418"/>
        <w:rPr>
          <w:noProof/>
        </w:rPr>
      </w:pPr>
      <w:r w:rsidRPr="00F12C48">
        <w:rPr>
          <w:noProof/>
        </w:rPr>
        <w:t>„v prípade účtovných rokov, ktoré začínajú 1</w:t>
      </w:r>
      <w:r w:rsidR="00F12C48">
        <w:rPr>
          <w:noProof/>
        </w:rPr>
        <w:t>. januára</w:t>
      </w:r>
      <w:r w:rsidRPr="00F12C48">
        <w:rPr>
          <w:noProof/>
        </w:rPr>
        <w:t> 2028 alebo neskôr:“.</w:t>
      </w:r>
    </w:p>
    <w:p w14:paraId="7FDD5755" w14:textId="09EA30A3" w:rsidR="000869E9" w:rsidRPr="00F12C48" w:rsidRDefault="004269D6" w:rsidP="004269D6">
      <w:pPr>
        <w:pStyle w:val="Point0"/>
        <w:rPr>
          <w:noProof/>
        </w:rPr>
      </w:pPr>
      <w:r>
        <w:rPr>
          <w:noProof/>
        </w:rPr>
        <w:t>2)</w:t>
      </w:r>
      <w:r>
        <w:rPr>
          <w:noProof/>
        </w:rPr>
        <w:tab/>
      </w:r>
      <w:r w:rsidR="0059025E" w:rsidRPr="00F12C48">
        <w:rPr>
          <w:noProof/>
        </w:rPr>
        <w:t>Tretí pododsek sa mení takto:</w:t>
      </w:r>
    </w:p>
    <w:p w14:paraId="696C498B" w14:textId="7AEDA904" w:rsidR="00573C2F" w:rsidRPr="00F12C48" w:rsidRDefault="004269D6" w:rsidP="004269D6">
      <w:pPr>
        <w:pStyle w:val="Point1"/>
        <w:rPr>
          <w:noProof/>
        </w:rPr>
      </w:pPr>
      <w:r>
        <w:rPr>
          <w:noProof/>
        </w:rPr>
        <w:t>a)</w:t>
      </w:r>
      <w:r>
        <w:rPr>
          <w:noProof/>
        </w:rPr>
        <w:tab/>
      </w:r>
      <w:r w:rsidR="003F368B" w:rsidRPr="00F12C48">
        <w:rPr>
          <w:noProof/>
        </w:rPr>
        <w:t>v písmene b) sa úvodná časť nahrádza takto:</w:t>
      </w:r>
    </w:p>
    <w:p w14:paraId="7A4E4876" w14:textId="25D269A6" w:rsidR="00573C2F" w:rsidRPr="00F12C48" w:rsidRDefault="00573C2F" w:rsidP="000A30FC">
      <w:pPr>
        <w:ind w:left="1418"/>
        <w:rPr>
          <w:noProof/>
        </w:rPr>
      </w:pPr>
      <w:r w:rsidRPr="00F12C48">
        <w:rPr>
          <w:noProof/>
        </w:rPr>
        <w:t>„v prípade účtovných rokov, ktoré začínajú 1</w:t>
      </w:r>
      <w:r w:rsidR="00F12C48">
        <w:rPr>
          <w:noProof/>
        </w:rPr>
        <w:t>. januára</w:t>
      </w:r>
      <w:r w:rsidRPr="00F12C48">
        <w:rPr>
          <w:noProof/>
        </w:rPr>
        <w:t xml:space="preserve"> 2027 alebo neskôr:“;</w:t>
      </w:r>
    </w:p>
    <w:p w14:paraId="283ED772" w14:textId="39AAA3D6" w:rsidR="00573C2F" w:rsidRPr="00F12C48" w:rsidRDefault="004269D6" w:rsidP="004269D6">
      <w:pPr>
        <w:pStyle w:val="Point1"/>
        <w:rPr>
          <w:noProof/>
        </w:rPr>
      </w:pPr>
      <w:r>
        <w:rPr>
          <w:noProof/>
        </w:rPr>
        <w:lastRenderedPageBreak/>
        <w:t>b)</w:t>
      </w:r>
      <w:r>
        <w:rPr>
          <w:noProof/>
        </w:rPr>
        <w:tab/>
      </w:r>
      <w:r w:rsidR="003F368B" w:rsidRPr="00F12C48">
        <w:rPr>
          <w:noProof/>
        </w:rPr>
        <w:t>v písmene c) sa úvodná časť nahrádza takto:</w:t>
      </w:r>
    </w:p>
    <w:p w14:paraId="0DDBFE91" w14:textId="6D7095E9" w:rsidR="00573C2F" w:rsidRPr="00F12C48" w:rsidRDefault="00573C2F" w:rsidP="000A30FC">
      <w:pPr>
        <w:ind w:left="1418"/>
        <w:rPr>
          <w:noProof/>
        </w:rPr>
      </w:pPr>
      <w:r w:rsidRPr="00F12C48">
        <w:rPr>
          <w:noProof/>
        </w:rPr>
        <w:t>„v prípade účtovných rokov, ktoré začínajú 1</w:t>
      </w:r>
      <w:r w:rsidR="00F12C48">
        <w:rPr>
          <w:noProof/>
        </w:rPr>
        <w:t>. januára</w:t>
      </w:r>
      <w:r w:rsidRPr="00F12C48">
        <w:rPr>
          <w:noProof/>
        </w:rPr>
        <w:t> 2028 alebo neskôr:“.</w:t>
      </w:r>
    </w:p>
    <w:p w14:paraId="4BC1C576" w14:textId="77777777" w:rsidR="000D5AA7" w:rsidRPr="00F12C48" w:rsidRDefault="000D5AA7" w:rsidP="000D5AA7">
      <w:pPr>
        <w:pStyle w:val="Titrearticle"/>
        <w:rPr>
          <w:noProof/>
        </w:rPr>
      </w:pPr>
      <w:r w:rsidRPr="00F12C48">
        <w:rPr>
          <w:noProof/>
        </w:rPr>
        <w:t>Článok 2</w:t>
      </w:r>
    </w:p>
    <w:p w14:paraId="63C10FF7" w14:textId="77777777" w:rsidR="000D5AA7" w:rsidRPr="00F12C48" w:rsidRDefault="000D5AA7" w:rsidP="000D5AA7">
      <w:pPr>
        <w:pStyle w:val="Titrearticle"/>
        <w:rPr>
          <w:b/>
          <w:bCs/>
          <w:i w:val="0"/>
          <w:iCs/>
          <w:noProof/>
        </w:rPr>
      </w:pPr>
      <w:r w:rsidRPr="00F12C48">
        <w:rPr>
          <w:b/>
          <w:i w:val="0"/>
          <w:noProof/>
        </w:rPr>
        <w:t>Zmeny smernice (EÚ) 2024/1760</w:t>
      </w:r>
    </w:p>
    <w:p w14:paraId="008E573E" w14:textId="5E2EE750" w:rsidR="00046A65" w:rsidRPr="00F12C48" w:rsidRDefault="003D2B3B" w:rsidP="00EA3B38">
      <w:pPr>
        <w:rPr>
          <w:noProof/>
        </w:rPr>
      </w:pPr>
      <w:r w:rsidRPr="00F12C48">
        <w:rPr>
          <w:noProof/>
        </w:rPr>
        <w:t>V článku 37 ods. 1 smernice (EÚ) 2024/1760 sa prvý</w:t>
      </w:r>
      <w:r w:rsidR="00F12C48">
        <w:rPr>
          <w:noProof/>
        </w:rPr>
        <w:t xml:space="preserve"> a </w:t>
      </w:r>
      <w:r w:rsidRPr="00F12C48">
        <w:rPr>
          <w:noProof/>
        </w:rPr>
        <w:t>druhý pododsek nahrádzajú takto:</w:t>
      </w:r>
    </w:p>
    <w:p w14:paraId="6FB59733" w14:textId="11A3ACC8" w:rsidR="00046A65" w:rsidRPr="00F12C48" w:rsidRDefault="00ED6798" w:rsidP="002002BC">
      <w:pPr>
        <w:rPr>
          <w:noProof/>
        </w:rPr>
      </w:pPr>
      <w:r w:rsidRPr="00F12C48">
        <w:rPr>
          <w:noProof/>
        </w:rPr>
        <w:t>„Členské štáty do 26</w:t>
      </w:r>
      <w:r w:rsidR="00F12C48">
        <w:rPr>
          <w:noProof/>
        </w:rPr>
        <w:t>. júla</w:t>
      </w:r>
      <w:r w:rsidRPr="00F12C48">
        <w:rPr>
          <w:noProof/>
        </w:rPr>
        <w:t xml:space="preserve"> 2027 prijmú</w:t>
      </w:r>
      <w:r w:rsidR="00F12C48">
        <w:rPr>
          <w:noProof/>
        </w:rPr>
        <w:t xml:space="preserve"> a </w:t>
      </w:r>
      <w:r w:rsidRPr="00F12C48">
        <w:rPr>
          <w:noProof/>
        </w:rPr>
        <w:t>uverejnia zákony, iné právne predpisy</w:t>
      </w:r>
      <w:r w:rsidR="00F12C48">
        <w:rPr>
          <w:noProof/>
        </w:rPr>
        <w:t xml:space="preserve"> a </w:t>
      </w:r>
      <w:r w:rsidRPr="00F12C48">
        <w:rPr>
          <w:noProof/>
        </w:rPr>
        <w:t>správne opatrenia potrebné na dosiahnutie súladu</w:t>
      </w:r>
      <w:r w:rsidR="00F12C48">
        <w:rPr>
          <w:noProof/>
        </w:rPr>
        <w:t xml:space="preserve"> s </w:t>
      </w:r>
      <w:r w:rsidRPr="00F12C48">
        <w:rPr>
          <w:noProof/>
        </w:rPr>
        <w:t>touto smernicou. Znenie týchto opatrení bezodkladne oznámia Komisii.</w:t>
      </w:r>
    </w:p>
    <w:p w14:paraId="48A8A0E9" w14:textId="77777777" w:rsidR="00F12C48" w:rsidRDefault="00046A65" w:rsidP="002002BC">
      <w:pPr>
        <w:rPr>
          <w:noProof/>
        </w:rPr>
      </w:pPr>
      <w:r w:rsidRPr="00F12C48">
        <w:rPr>
          <w:noProof/>
        </w:rPr>
        <w:t>Uvedené opatrenia uplatňujú</w:t>
      </w:r>
      <w:r w:rsidR="00F12C48">
        <w:rPr>
          <w:noProof/>
        </w:rPr>
        <w:t>:</w:t>
      </w:r>
    </w:p>
    <w:p w14:paraId="6DC4CC09" w14:textId="03A5058F" w:rsidR="00725A9E" w:rsidRPr="00F12C48" w:rsidRDefault="004269D6" w:rsidP="004269D6">
      <w:pPr>
        <w:pStyle w:val="Point0"/>
        <w:rPr>
          <w:noProof/>
        </w:rPr>
      </w:pPr>
      <w:r>
        <w:rPr>
          <w:noProof/>
        </w:rPr>
        <w:t>a)</w:t>
      </w:r>
      <w:r>
        <w:rPr>
          <w:noProof/>
        </w:rPr>
        <w:tab/>
      </w:r>
      <w:r w:rsidR="00472108" w:rsidRPr="00F12C48">
        <w:rPr>
          <w:noProof/>
        </w:rPr>
        <w:t>od 26</w:t>
      </w:r>
      <w:r w:rsidR="00F12C48">
        <w:rPr>
          <w:noProof/>
        </w:rPr>
        <w:t>. júla</w:t>
      </w:r>
      <w:r w:rsidR="00472108" w:rsidRPr="00F12C48">
        <w:rPr>
          <w:noProof/>
        </w:rPr>
        <w:t xml:space="preserve"> 2028, pokiaľ ide</w:t>
      </w:r>
      <w:r w:rsidR="00F12C48">
        <w:rPr>
          <w:noProof/>
        </w:rPr>
        <w:t xml:space="preserve"> o </w:t>
      </w:r>
      <w:r w:rsidR="00472108" w:rsidRPr="00F12C48">
        <w:rPr>
          <w:noProof/>
        </w:rPr>
        <w:t>spoločnosti uvedené</w:t>
      </w:r>
      <w:r w:rsidR="00F12C48">
        <w:rPr>
          <w:noProof/>
        </w:rPr>
        <w:t xml:space="preserve"> v </w:t>
      </w:r>
      <w:r w:rsidR="00472108" w:rsidRPr="00F12C48">
        <w:rPr>
          <w:noProof/>
        </w:rPr>
        <w:t>článku 2 ods. 1 písm. a)</w:t>
      </w:r>
      <w:r w:rsidR="00F12C48">
        <w:rPr>
          <w:noProof/>
        </w:rPr>
        <w:t xml:space="preserve"> a </w:t>
      </w:r>
      <w:r w:rsidR="00472108" w:rsidRPr="00F12C48">
        <w:rPr>
          <w:noProof/>
        </w:rPr>
        <w:t>b), ktoré boli založené</w:t>
      </w:r>
      <w:r w:rsidR="00F12C48">
        <w:rPr>
          <w:noProof/>
        </w:rPr>
        <w:t xml:space="preserve"> v </w:t>
      </w:r>
      <w:r w:rsidR="00472108" w:rsidRPr="00F12C48">
        <w:rPr>
          <w:noProof/>
        </w:rPr>
        <w:t>súlade</w:t>
      </w:r>
      <w:r w:rsidR="00F12C48">
        <w:rPr>
          <w:noProof/>
        </w:rPr>
        <w:t xml:space="preserve"> s </w:t>
      </w:r>
      <w:r w:rsidR="00472108" w:rsidRPr="00F12C48">
        <w:rPr>
          <w:noProof/>
        </w:rPr>
        <w:t>právnymi predpismi členského štátu</w:t>
      </w:r>
      <w:r w:rsidR="00F12C48">
        <w:rPr>
          <w:noProof/>
        </w:rPr>
        <w:t xml:space="preserve"> a </w:t>
      </w:r>
      <w:r w:rsidR="00472108" w:rsidRPr="00F12C48">
        <w:rPr>
          <w:noProof/>
        </w:rPr>
        <w:t>ktoré mali</w:t>
      </w:r>
      <w:r w:rsidR="00F12C48">
        <w:rPr>
          <w:noProof/>
        </w:rPr>
        <w:t xml:space="preserve"> v </w:t>
      </w:r>
      <w:r w:rsidR="00472108" w:rsidRPr="00F12C48">
        <w:rPr>
          <w:noProof/>
        </w:rPr>
        <w:t>priemere viac ako 3 000 zamestnancov</w:t>
      </w:r>
      <w:r w:rsidR="00F12C48">
        <w:rPr>
          <w:noProof/>
        </w:rPr>
        <w:t xml:space="preserve"> a </w:t>
      </w:r>
      <w:r w:rsidR="00472108" w:rsidRPr="00F12C48">
        <w:rPr>
          <w:noProof/>
        </w:rPr>
        <w:t>dosiahli čistý celosvetový obrat vyšší ako 900 000 000 EUR</w:t>
      </w:r>
      <w:r w:rsidR="00F12C48">
        <w:rPr>
          <w:noProof/>
        </w:rPr>
        <w:t xml:space="preserve"> v </w:t>
      </w:r>
      <w:r w:rsidR="00472108" w:rsidRPr="00F12C48">
        <w:rPr>
          <w:noProof/>
        </w:rPr>
        <w:t>poslednom finančnom roku pred 26. júlom 2028, za ktorý bola alebo mala byť prijatá ročná účtovná závierka,</w:t>
      </w:r>
      <w:r w:rsidR="00F12C48">
        <w:rPr>
          <w:noProof/>
        </w:rPr>
        <w:t xml:space="preserve"> s </w:t>
      </w:r>
      <w:r w:rsidR="00472108" w:rsidRPr="00F12C48">
        <w:rPr>
          <w:noProof/>
        </w:rPr>
        <w:t>výnimkou opatrení potrebných na dosiahnutie súladu</w:t>
      </w:r>
      <w:r w:rsidR="00F12C48">
        <w:rPr>
          <w:noProof/>
        </w:rPr>
        <w:t xml:space="preserve"> s </w:t>
      </w:r>
      <w:r w:rsidR="00472108" w:rsidRPr="00F12C48">
        <w:rPr>
          <w:noProof/>
        </w:rPr>
        <w:t>článkom 16, ktoré členské štáty uplatňujú na tieto spoločnosti za finančné roky začínajúce sa 1</w:t>
      </w:r>
      <w:r w:rsidR="00F12C48">
        <w:rPr>
          <w:noProof/>
        </w:rPr>
        <w:t>. januára</w:t>
      </w:r>
      <w:r w:rsidR="00472108" w:rsidRPr="00F12C48">
        <w:rPr>
          <w:noProof/>
        </w:rPr>
        <w:t xml:space="preserve"> 2029 alebo neskôr;</w:t>
      </w:r>
    </w:p>
    <w:p w14:paraId="31D45FD2" w14:textId="78CD09FD" w:rsidR="00472108" w:rsidRPr="00F12C48" w:rsidRDefault="004269D6" w:rsidP="004269D6">
      <w:pPr>
        <w:pStyle w:val="Point0"/>
        <w:rPr>
          <w:noProof/>
        </w:rPr>
      </w:pPr>
      <w:r>
        <w:rPr>
          <w:noProof/>
        </w:rPr>
        <w:t>b)</w:t>
      </w:r>
      <w:r>
        <w:rPr>
          <w:noProof/>
        </w:rPr>
        <w:tab/>
      </w:r>
      <w:r w:rsidR="00472108" w:rsidRPr="00F12C48">
        <w:rPr>
          <w:noProof/>
        </w:rPr>
        <w:t>od 26</w:t>
      </w:r>
      <w:r w:rsidR="00F12C48">
        <w:rPr>
          <w:noProof/>
        </w:rPr>
        <w:t>. júla</w:t>
      </w:r>
      <w:r w:rsidR="00472108" w:rsidRPr="00F12C48">
        <w:rPr>
          <w:noProof/>
        </w:rPr>
        <w:t xml:space="preserve"> 2028, pokiaľ ide</w:t>
      </w:r>
      <w:r w:rsidR="00F12C48">
        <w:rPr>
          <w:noProof/>
        </w:rPr>
        <w:t xml:space="preserve"> o </w:t>
      </w:r>
      <w:r w:rsidR="00472108" w:rsidRPr="00F12C48">
        <w:rPr>
          <w:noProof/>
        </w:rPr>
        <w:t>spoločnosti uvedené</w:t>
      </w:r>
      <w:r w:rsidR="00F12C48">
        <w:rPr>
          <w:noProof/>
        </w:rPr>
        <w:t xml:space="preserve"> v </w:t>
      </w:r>
      <w:r w:rsidR="00472108" w:rsidRPr="00F12C48">
        <w:rPr>
          <w:noProof/>
        </w:rPr>
        <w:t>článku 2 ods. 2 písm. a)</w:t>
      </w:r>
      <w:r w:rsidR="00F12C48">
        <w:rPr>
          <w:noProof/>
        </w:rPr>
        <w:t xml:space="preserve"> a </w:t>
      </w:r>
      <w:r w:rsidR="00472108" w:rsidRPr="00F12C48">
        <w:rPr>
          <w:noProof/>
        </w:rPr>
        <w:t>b), ktoré boli založené</w:t>
      </w:r>
      <w:r w:rsidR="00F12C48">
        <w:rPr>
          <w:noProof/>
        </w:rPr>
        <w:t xml:space="preserve"> v </w:t>
      </w:r>
      <w:r w:rsidR="00472108" w:rsidRPr="00F12C48">
        <w:rPr>
          <w:noProof/>
        </w:rPr>
        <w:t>súlade</w:t>
      </w:r>
      <w:r w:rsidR="00F12C48">
        <w:rPr>
          <w:noProof/>
        </w:rPr>
        <w:t xml:space="preserve"> s </w:t>
      </w:r>
      <w:r w:rsidR="00472108" w:rsidRPr="00F12C48">
        <w:rPr>
          <w:noProof/>
        </w:rPr>
        <w:t>právnymi predpismi tretej krajiny</w:t>
      </w:r>
      <w:r w:rsidR="00F12C48">
        <w:rPr>
          <w:noProof/>
        </w:rPr>
        <w:t xml:space="preserve"> a </w:t>
      </w:r>
      <w:r w:rsidR="00472108" w:rsidRPr="00F12C48">
        <w:rPr>
          <w:noProof/>
        </w:rPr>
        <w:t>ktoré vo finančnom roku predchádzajúcom poslednému finančnému roku pred 26. júlom 2028 dosiahli</w:t>
      </w:r>
      <w:r w:rsidR="00F12C48">
        <w:rPr>
          <w:noProof/>
        </w:rPr>
        <w:t xml:space="preserve"> v </w:t>
      </w:r>
      <w:r w:rsidR="00472108" w:rsidRPr="00F12C48">
        <w:rPr>
          <w:noProof/>
        </w:rPr>
        <w:t>Únii čistý obrat viac ako 900 000 000 EUR,</w:t>
      </w:r>
      <w:r w:rsidR="00F12C48">
        <w:rPr>
          <w:noProof/>
        </w:rPr>
        <w:t xml:space="preserve"> s </w:t>
      </w:r>
      <w:r w:rsidR="00472108" w:rsidRPr="00F12C48">
        <w:rPr>
          <w:noProof/>
        </w:rPr>
        <w:t>výnimkou opatrení potrebných na dosiahnutie súladu</w:t>
      </w:r>
      <w:r w:rsidR="00F12C48">
        <w:rPr>
          <w:noProof/>
        </w:rPr>
        <w:t xml:space="preserve"> s </w:t>
      </w:r>
      <w:r w:rsidR="00472108" w:rsidRPr="00F12C48">
        <w:rPr>
          <w:noProof/>
        </w:rPr>
        <w:t>článkom 16, ktoré členské štáty uplatňujú na tieto spoločnosti za finančné roky začínajúce sa 1</w:t>
      </w:r>
      <w:r w:rsidR="00F12C48">
        <w:rPr>
          <w:noProof/>
        </w:rPr>
        <w:t>. januára</w:t>
      </w:r>
      <w:r w:rsidR="00472108" w:rsidRPr="00F12C48">
        <w:rPr>
          <w:noProof/>
        </w:rPr>
        <w:t xml:space="preserve"> 2029 alebo neskôr;</w:t>
      </w:r>
    </w:p>
    <w:p w14:paraId="3B6CBA28" w14:textId="12A774BD" w:rsidR="00472108" w:rsidRPr="00F12C48" w:rsidRDefault="004269D6" w:rsidP="004269D6">
      <w:pPr>
        <w:pStyle w:val="Point0"/>
        <w:rPr>
          <w:noProof/>
        </w:rPr>
      </w:pPr>
      <w:r>
        <w:rPr>
          <w:noProof/>
        </w:rPr>
        <w:t>c)</w:t>
      </w:r>
      <w:r>
        <w:rPr>
          <w:noProof/>
        </w:rPr>
        <w:tab/>
      </w:r>
      <w:r w:rsidR="00472108" w:rsidRPr="00F12C48">
        <w:rPr>
          <w:noProof/>
        </w:rPr>
        <w:t>od 26</w:t>
      </w:r>
      <w:r w:rsidR="00F12C48">
        <w:rPr>
          <w:noProof/>
        </w:rPr>
        <w:t>. júla</w:t>
      </w:r>
      <w:r w:rsidR="00472108" w:rsidRPr="00F12C48">
        <w:rPr>
          <w:noProof/>
        </w:rPr>
        <w:t xml:space="preserve"> 2029, pokiaľ ide</w:t>
      </w:r>
      <w:r w:rsidR="00F12C48">
        <w:rPr>
          <w:noProof/>
        </w:rPr>
        <w:t xml:space="preserve"> o </w:t>
      </w:r>
      <w:r w:rsidR="00472108" w:rsidRPr="00F12C48">
        <w:rPr>
          <w:noProof/>
        </w:rPr>
        <w:t>všetky ostatné spoločnosti uvedené</w:t>
      </w:r>
      <w:r w:rsidR="00F12C48">
        <w:rPr>
          <w:noProof/>
        </w:rPr>
        <w:t xml:space="preserve"> v </w:t>
      </w:r>
      <w:r w:rsidR="00472108" w:rsidRPr="00F12C48">
        <w:rPr>
          <w:noProof/>
        </w:rPr>
        <w:t>článku 2 ods. 1 písm. a)</w:t>
      </w:r>
      <w:r w:rsidR="00F12C48">
        <w:rPr>
          <w:noProof/>
        </w:rPr>
        <w:t xml:space="preserve"> a </w:t>
      </w:r>
      <w:r w:rsidR="00472108" w:rsidRPr="00F12C48">
        <w:rPr>
          <w:noProof/>
        </w:rPr>
        <w:t>b)</w:t>
      </w:r>
      <w:r w:rsidR="00F12C48">
        <w:rPr>
          <w:noProof/>
        </w:rPr>
        <w:t xml:space="preserve"> a </w:t>
      </w:r>
      <w:r w:rsidR="00472108" w:rsidRPr="00F12C48">
        <w:rPr>
          <w:noProof/>
        </w:rPr>
        <w:t>článku 2 ods. 2 písm. a)</w:t>
      </w:r>
      <w:r w:rsidR="00F12C48">
        <w:rPr>
          <w:noProof/>
        </w:rPr>
        <w:t xml:space="preserve"> a </w:t>
      </w:r>
      <w:r w:rsidR="00472108" w:rsidRPr="00F12C48">
        <w:rPr>
          <w:noProof/>
        </w:rPr>
        <w:t>b)</w:t>
      </w:r>
      <w:r w:rsidR="00F12C48">
        <w:rPr>
          <w:noProof/>
        </w:rPr>
        <w:t xml:space="preserve"> a </w:t>
      </w:r>
      <w:r w:rsidR="00472108" w:rsidRPr="00F12C48">
        <w:rPr>
          <w:noProof/>
        </w:rPr>
        <w:t>spoločnosti uvedené</w:t>
      </w:r>
      <w:r w:rsidR="00F12C48">
        <w:rPr>
          <w:noProof/>
        </w:rPr>
        <w:t xml:space="preserve"> v </w:t>
      </w:r>
      <w:r w:rsidR="00472108" w:rsidRPr="00F12C48">
        <w:rPr>
          <w:noProof/>
        </w:rPr>
        <w:t>článku 2 ods. 1 písm. c)</w:t>
      </w:r>
      <w:r w:rsidR="00F12C48">
        <w:rPr>
          <w:noProof/>
        </w:rPr>
        <w:t xml:space="preserve"> a </w:t>
      </w:r>
      <w:r w:rsidR="00472108" w:rsidRPr="00F12C48">
        <w:rPr>
          <w:noProof/>
        </w:rPr>
        <w:t>článku 2 ods. 2 písm. c),</w:t>
      </w:r>
      <w:r w:rsidR="00F12C48">
        <w:rPr>
          <w:noProof/>
        </w:rPr>
        <w:t xml:space="preserve"> s </w:t>
      </w:r>
      <w:r w:rsidR="00472108" w:rsidRPr="00F12C48">
        <w:rPr>
          <w:noProof/>
        </w:rPr>
        <w:t>výnimkou opatrení potrebných na dosiahnutie súladu</w:t>
      </w:r>
      <w:r w:rsidR="00F12C48">
        <w:rPr>
          <w:noProof/>
        </w:rPr>
        <w:t xml:space="preserve"> s </w:t>
      </w:r>
      <w:r w:rsidR="00472108" w:rsidRPr="00F12C48">
        <w:rPr>
          <w:noProof/>
        </w:rPr>
        <w:t>článkom 16, ktoré členské štáty uplatňujú na tieto spoločnosti za finančné roky začínajúce sa 1</w:t>
      </w:r>
      <w:r w:rsidR="00F12C48">
        <w:rPr>
          <w:noProof/>
        </w:rPr>
        <w:t>. januára</w:t>
      </w:r>
      <w:r w:rsidR="00472108" w:rsidRPr="00F12C48">
        <w:rPr>
          <w:noProof/>
        </w:rPr>
        <w:t xml:space="preserve"> 2030 alebo neskôr.“.</w:t>
      </w:r>
    </w:p>
    <w:p w14:paraId="5815F759" w14:textId="77777777" w:rsidR="00F12C48" w:rsidRDefault="006C7F87" w:rsidP="0094068A">
      <w:pPr>
        <w:pStyle w:val="Titrearticle"/>
        <w:keepLines/>
        <w:rPr>
          <w:noProof/>
        </w:rPr>
      </w:pPr>
      <w:r w:rsidRPr="00F12C48">
        <w:rPr>
          <w:noProof/>
        </w:rPr>
        <w:t>Článok 3</w:t>
      </w:r>
    </w:p>
    <w:p w14:paraId="6D3B5825" w14:textId="40E2CE6D" w:rsidR="006C7F87" w:rsidRPr="00F12C48" w:rsidRDefault="00787171" w:rsidP="00787171">
      <w:pPr>
        <w:pStyle w:val="Titrearticle"/>
        <w:rPr>
          <w:b/>
          <w:bCs/>
          <w:i w:val="0"/>
          <w:iCs/>
          <w:noProof/>
        </w:rPr>
      </w:pPr>
      <w:r w:rsidRPr="00F12C48">
        <w:rPr>
          <w:b/>
          <w:i w:val="0"/>
          <w:noProof/>
        </w:rPr>
        <w:t>Transpozícia</w:t>
      </w:r>
    </w:p>
    <w:p w14:paraId="18B16440" w14:textId="7CE8C041" w:rsidR="006C7F87" w:rsidRPr="00F12C48" w:rsidRDefault="006C7F87" w:rsidP="0094068A">
      <w:pPr>
        <w:pStyle w:val="ManualNumPar1"/>
        <w:rPr>
          <w:noProof/>
        </w:rPr>
      </w:pPr>
      <w:r w:rsidRPr="00F12C48">
        <w:rPr>
          <w:noProof/>
        </w:rPr>
        <w:t>1.</w:t>
      </w:r>
      <w:r w:rsidRPr="00F12C48">
        <w:rPr>
          <w:noProof/>
        </w:rPr>
        <w:tab/>
        <w:t>Členské štáty uvedú do účinnosti zákony, iné právne predpisy</w:t>
      </w:r>
      <w:r w:rsidR="00F12C48">
        <w:rPr>
          <w:noProof/>
        </w:rPr>
        <w:t xml:space="preserve"> a </w:t>
      </w:r>
      <w:r w:rsidRPr="00F12C48">
        <w:rPr>
          <w:noProof/>
        </w:rPr>
        <w:t>správne opatrenia potrebné na dosiahnutie súladu</w:t>
      </w:r>
      <w:r w:rsidR="00F12C48">
        <w:rPr>
          <w:noProof/>
        </w:rPr>
        <w:t xml:space="preserve"> s </w:t>
      </w:r>
      <w:r w:rsidRPr="00F12C48">
        <w:rPr>
          <w:noProof/>
        </w:rPr>
        <w:t>touto smernicou najneskôr do 31</w:t>
      </w:r>
      <w:r w:rsidR="00F12C48">
        <w:rPr>
          <w:noProof/>
        </w:rPr>
        <w:t>. decembra</w:t>
      </w:r>
      <w:r w:rsidRPr="00F12C48">
        <w:rPr>
          <w:noProof/>
        </w:rPr>
        <w:t xml:space="preserve"> 2025. Znenie týchto ustanovení bezodkladne oznámia Komisii.</w:t>
      </w:r>
    </w:p>
    <w:p w14:paraId="685FB8CC" w14:textId="69884E6F" w:rsidR="006C7F87" w:rsidRPr="00F12C48" w:rsidRDefault="006C7F87" w:rsidP="0094068A">
      <w:pPr>
        <w:pStyle w:val="Text1"/>
        <w:rPr>
          <w:noProof/>
        </w:rPr>
      </w:pPr>
      <w:r w:rsidRPr="00F12C48">
        <w:rPr>
          <w:noProof/>
        </w:rPr>
        <w:t>Členské štáty uvedú priamo</w:t>
      </w:r>
      <w:r w:rsidR="00F12C48">
        <w:rPr>
          <w:noProof/>
        </w:rPr>
        <w:t xml:space="preserve"> v </w:t>
      </w:r>
      <w:r w:rsidRPr="00F12C48">
        <w:rPr>
          <w:noProof/>
        </w:rPr>
        <w:t>prijatých ustanoveniach alebo pri ich úradnom uverejnení odkaz na túto smernicu. Podrobnosti</w:t>
      </w:r>
      <w:r w:rsidR="00F12C48">
        <w:rPr>
          <w:noProof/>
        </w:rPr>
        <w:t xml:space="preserve"> o </w:t>
      </w:r>
      <w:r w:rsidRPr="00F12C48">
        <w:rPr>
          <w:noProof/>
        </w:rPr>
        <w:t>odkaze upravia členské štáty.</w:t>
      </w:r>
    </w:p>
    <w:p w14:paraId="3B416A3D" w14:textId="0A55872D" w:rsidR="006C7F87" w:rsidRPr="00F12C48" w:rsidRDefault="006C7F87" w:rsidP="0094068A">
      <w:pPr>
        <w:pStyle w:val="ManualNumPar1"/>
        <w:rPr>
          <w:noProof/>
        </w:rPr>
      </w:pPr>
      <w:r w:rsidRPr="00F12C48">
        <w:rPr>
          <w:noProof/>
        </w:rPr>
        <w:t>2.</w:t>
      </w:r>
      <w:r w:rsidRPr="00F12C48">
        <w:rPr>
          <w:noProof/>
        </w:rPr>
        <w:tab/>
        <w:t>Členské štáty oznámia Komisii znenie hlavných ustanovení vnútroštátneho práva, ktoré prijmú</w:t>
      </w:r>
      <w:r w:rsidR="00F12C48">
        <w:rPr>
          <w:noProof/>
        </w:rPr>
        <w:t xml:space="preserve"> v </w:t>
      </w:r>
      <w:r w:rsidRPr="00F12C48">
        <w:rPr>
          <w:noProof/>
        </w:rPr>
        <w:t>oblasti pôsobnosti tejto smernice.</w:t>
      </w:r>
    </w:p>
    <w:p w14:paraId="579570DD" w14:textId="77777777" w:rsidR="006C7F87" w:rsidRPr="00F12C48" w:rsidRDefault="006C7F87" w:rsidP="0094068A">
      <w:pPr>
        <w:pStyle w:val="Titrearticle"/>
        <w:rPr>
          <w:noProof/>
        </w:rPr>
      </w:pPr>
      <w:r w:rsidRPr="00F12C48">
        <w:rPr>
          <w:noProof/>
        </w:rPr>
        <w:lastRenderedPageBreak/>
        <w:t>Článok 4</w:t>
      </w:r>
    </w:p>
    <w:p w14:paraId="1B17ABCC" w14:textId="77777777" w:rsidR="00AC7306" w:rsidRPr="00F12C48" w:rsidRDefault="00AC7306" w:rsidP="00AC7306">
      <w:pPr>
        <w:pStyle w:val="Titrearticle"/>
        <w:rPr>
          <w:b/>
          <w:bCs/>
          <w:i w:val="0"/>
          <w:iCs/>
          <w:noProof/>
        </w:rPr>
      </w:pPr>
      <w:r w:rsidRPr="00F12C48">
        <w:rPr>
          <w:b/>
          <w:i w:val="0"/>
          <w:noProof/>
        </w:rPr>
        <w:t>Nadobudnutie účinnosti</w:t>
      </w:r>
    </w:p>
    <w:p w14:paraId="76267EF5" w14:textId="4EFF9A62" w:rsidR="006C7F87" w:rsidRPr="00F12C48" w:rsidRDefault="74F27777" w:rsidP="0094068A">
      <w:pPr>
        <w:rPr>
          <w:noProof/>
        </w:rPr>
      </w:pPr>
      <w:r w:rsidRPr="00F12C48">
        <w:rPr>
          <w:noProof/>
        </w:rPr>
        <w:t>Táto smernica nadobúda účinnosť dňom nasledujúcim po jej uverejnení</w:t>
      </w:r>
      <w:r w:rsidR="00F12C48">
        <w:rPr>
          <w:noProof/>
        </w:rPr>
        <w:t xml:space="preserve"> v </w:t>
      </w:r>
      <w:r w:rsidRPr="00F12C48">
        <w:rPr>
          <w:i/>
          <w:noProof/>
        </w:rPr>
        <w:t>Úradnom vestníku Európskej únie</w:t>
      </w:r>
      <w:r w:rsidRPr="00F12C48">
        <w:rPr>
          <w:noProof/>
        </w:rPr>
        <w:t>.</w:t>
      </w:r>
    </w:p>
    <w:p w14:paraId="3DE172A4" w14:textId="77777777" w:rsidR="006C7F87" w:rsidRPr="00F12C48" w:rsidRDefault="006C7F87" w:rsidP="0094068A">
      <w:pPr>
        <w:pStyle w:val="Titrearticle"/>
        <w:rPr>
          <w:noProof/>
        </w:rPr>
      </w:pPr>
      <w:r w:rsidRPr="00F12C48">
        <w:rPr>
          <w:noProof/>
        </w:rPr>
        <w:t>Článok 5</w:t>
      </w:r>
    </w:p>
    <w:p w14:paraId="0CF7DE50" w14:textId="77777777" w:rsidR="00AC7306" w:rsidRPr="00F12C48" w:rsidRDefault="00AC7306" w:rsidP="00346CAD">
      <w:pPr>
        <w:pStyle w:val="Titrearticle"/>
        <w:rPr>
          <w:noProof/>
        </w:rPr>
      </w:pPr>
      <w:r w:rsidRPr="00F12C48">
        <w:rPr>
          <w:b/>
          <w:i w:val="0"/>
          <w:noProof/>
        </w:rPr>
        <w:t>Adresáti</w:t>
      </w:r>
    </w:p>
    <w:p w14:paraId="1C1869A6" w14:textId="77777777" w:rsidR="006C7F87" w:rsidRPr="00F12C48" w:rsidRDefault="006C7F87" w:rsidP="0094068A">
      <w:pPr>
        <w:keepNext/>
        <w:keepLines/>
        <w:rPr>
          <w:noProof/>
        </w:rPr>
      </w:pPr>
      <w:r w:rsidRPr="00F12C48">
        <w:rPr>
          <w:noProof/>
        </w:rPr>
        <w:t>Táto smernica je určená členským štátom.</w:t>
      </w:r>
    </w:p>
    <w:p w14:paraId="6F99BCD3" w14:textId="0995E8D4" w:rsidR="006C7F87" w:rsidRPr="00F12C48" w:rsidRDefault="008E101E" w:rsidP="00346CAD">
      <w:pPr>
        <w:pStyle w:val="Fait"/>
        <w:rPr>
          <w:noProof/>
        </w:rPr>
      </w:pPr>
      <w:r>
        <w:rPr>
          <w:noProof/>
        </w:rPr>
        <w:t>V Bruseli</w:t>
      </w:r>
    </w:p>
    <w:p w14:paraId="77EDDB57" w14:textId="77777777" w:rsidR="006C7F87" w:rsidRPr="00F12C48" w:rsidRDefault="006C7F87" w:rsidP="00346CAD">
      <w:pPr>
        <w:pStyle w:val="Institutionquisigne"/>
        <w:rPr>
          <w:noProof/>
        </w:rPr>
      </w:pPr>
      <w:r w:rsidRPr="00F12C48">
        <w:rPr>
          <w:noProof/>
        </w:rPr>
        <w:t>Za Európsky parlament</w:t>
      </w:r>
      <w:r w:rsidRPr="00F12C48">
        <w:rPr>
          <w:noProof/>
        </w:rPr>
        <w:tab/>
        <w:t>Za Radu</w:t>
      </w:r>
    </w:p>
    <w:p w14:paraId="7B049FFF" w14:textId="77777777" w:rsidR="00CA2B31" w:rsidRPr="00F12C48" w:rsidRDefault="006C7F87" w:rsidP="00BB1CDB">
      <w:pPr>
        <w:pStyle w:val="Personnequisigne"/>
        <w:rPr>
          <w:noProof/>
        </w:rPr>
      </w:pPr>
      <w:r w:rsidRPr="00F12C48">
        <w:rPr>
          <w:noProof/>
        </w:rPr>
        <w:t>predseda/predsedníčka</w:t>
      </w:r>
      <w:r w:rsidRPr="00F12C48">
        <w:rPr>
          <w:noProof/>
        </w:rPr>
        <w:tab/>
        <w:t>predseda/predsedníčka</w:t>
      </w:r>
    </w:p>
    <w:p w14:paraId="7B7B0287" w14:textId="77777777" w:rsidR="00CA2B31" w:rsidRPr="00F12C48" w:rsidRDefault="001A1613" w:rsidP="0078133F">
      <w:pPr>
        <w:spacing w:before="0" w:after="200" w:line="276" w:lineRule="auto"/>
        <w:jc w:val="left"/>
        <w:rPr>
          <w:noProof/>
        </w:rPr>
      </w:pPr>
      <w:r w:rsidRPr="00F12C48">
        <w:rPr>
          <w:noProof/>
        </w:rPr>
        <w:br w:type="page"/>
      </w:r>
    </w:p>
    <w:p w14:paraId="391CEFDA" w14:textId="77777777" w:rsidR="00CA2B31" w:rsidRPr="00F12C48" w:rsidRDefault="00CA2B31" w:rsidP="00CA2B31">
      <w:pPr>
        <w:pStyle w:val="Fichefinanciretitre"/>
        <w:keepNext/>
        <w:rPr>
          <w:noProof/>
        </w:rPr>
      </w:pPr>
      <w:r w:rsidRPr="00F12C48">
        <w:rPr>
          <w:noProof/>
        </w:rPr>
        <w:lastRenderedPageBreak/>
        <w:t>LEGISLATÍVNY FINANČNÝ A DIGITÁLNY VÝKAZ</w:t>
      </w:r>
    </w:p>
    <w:p w14:paraId="262A4CF2" w14:textId="77777777" w:rsidR="000F2513" w:rsidRPr="00F12C48" w:rsidRDefault="000F2513" w:rsidP="0078133F">
      <w:pPr>
        <w:rPr>
          <w:noProof/>
        </w:rPr>
      </w:pPr>
    </w:p>
    <w:p w14:paraId="3FD6B615" w14:textId="77777777" w:rsidR="00CA2B31" w:rsidRPr="00F12C48" w:rsidRDefault="00CA2B31" w:rsidP="00CA2B31">
      <w:pPr>
        <w:pStyle w:val="Obsah1"/>
        <w:rPr>
          <w:rFonts w:asciiTheme="minorHAnsi" w:eastAsiaTheme="minorEastAsia" w:hAnsiTheme="minorHAnsi" w:cstheme="minorBidi"/>
          <w:noProof/>
          <w:kern w:val="2"/>
          <w:sz w:val="22"/>
          <w14:ligatures w14:val="standardContextual"/>
        </w:rPr>
      </w:pPr>
      <w:r w:rsidRPr="00F12C48">
        <w:rPr>
          <w:noProof/>
        </w:rPr>
        <w:t>1.</w:t>
      </w:r>
      <w:r w:rsidRPr="00F12C48">
        <w:rPr>
          <w:noProof/>
        </w:rPr>
        <w:tab/>
        <w:t>RÁMEC NÁVRHU/INICIATÍVY</w:t>
      </w:r>
      <w:r w:rsidRPr="00F12C48">
        <w:rPr>
          <w:noProof/>
        </w:rPr>
        <w:tab/>
      </w:r>
      <w:r w:rsidRPr="00F12C48">
        <w:rPr>
          <w:noProof/>
          <w:webHidden/>
        </w:rPr>
        <w:t>3</w:t>
      </w:r>
    </w:p>
    <w:p w14:paraId="2B141920" w14:textId="77777777" w:rsidR="00CA2B31" w:rsidRPr="00F12C48" w:rsidRDefault="00CA2B31" w:rsidP="00CA2B31">
      <w:pPr>
        <w:pStyle w:val="Obsah2"/>
        <w:rPr>
          <w:rFonts w:asciiTheme="minorHAnsi" w:eastAsiaTheme="minorEastAsia" w:hAnsiTheme="minorHAnsi" w:cstheme="minorBidi"/>
          <w:noProof/>
          <w:kern w:val="2"/>
          <w:sz w:val="22"/>
          <w14:ligatures w14:val="standardContextual"/>
        </w:rPr>
      </w:pPr>
      <w:r w:rsidRPr="00F12C48">
        <w:rPr>
          <w:noProof/>
        </w:rPr>
        <w:t>1,1.</w:t>
      </w:r>
      <w:r w:rsidRPr="00F12C48">
        <w:rPr>
          <w:noProof/>
        </w:rPr>
        <w:tab/>
        <w:t>Názov návrhu/iniciatívy</w:t>
      </w:r>
      <w:r w:rsidRPr="00F12C48">
        <w:rPr>
          <w:noProof/>
        </w:rPr>
        <w:tab/>
      </w:r>
      <w:r w:rsidRPr="00F12C48">
        <w:rPr>
          <w:noProof/>
          <w:webHidden/>
        </w:rPr>
        <w:t>3</w:t>
      </w:r>
    </w:p>
    <w:p w14:paraId="3D149DC4" w14:textId="77777777" w:rsidR="00CA2B31" w:rsidRPr="00F12C48" w:rsidRDefault="00CA2B31" w:rsidP="00CA2B31">
      <w:pPr>
        <w:pStyle w:val="Obsah2"/>
        <w:rPr>
          <w:rFonts w:asciiTheme="minorHAnsi" w:eastAsiaTheme="minorEastAsia" w:hAnsiTheme="minorHAnsi" w:cstheme="minorBidi"/>
          <w:noProof/>
          <w:kern w:val="2"/>
          <w:sz w:val="22"/>
          <w14:ligatures w14:val="standardContextual"/>
        </w:rPr>
      </w:pPr>
      <w:r w:rsidRPr="00F12C48">
        <w:rPr>
          <w:noProof/>
        </w:rPr>
        <w:t>1,2.</w:t>
      </w:r>
      <w:r w:rsidRPr="00F12C48">
        <w:rPr>
          <w:noProof/>
        </w:rPr>
        <w:tab/>
        <w:t>Príslušné oblasti politiky</w:t>
      </w:r>
      <w:r w:rsidRPr="00F12C48">
        <w:rPr>
          <w:noProof/>
        </w:rPr>
        <w:tab/>
      </w:r>
      <w:r w:rsidRPr="00F12C48">
        <w:rPr>
          <w:noProof/>
          <w:webHidden/>
        </w:rPr>
        <w:t>3</w:t>
      </w:r>
    </w:p>
    <w:p w14:paraId="5AF54A6F" w14:textId="77777777" w:rsidR="00CA2B31" w:rsidRPr="00F12C48" w:rsidRDefault="00CA2B31" w:rsidP="00CA2B31">
      <w:pPr>
        <w:pStyle w:val="Obsah2"/>
        <w:rPr>
          <w:rFonts w:asciiTheme="minorHAnsi" w:eastAsiaTheme="minorEastAsia" w:hAnsiTheme="minorHAnsi" w:cstheme="minorBidi"/>
          <w:noProof/>
          <w:kern w:val="2"/>
          <w:sz w:val="22"/>
          <w14:ligatures w14:val="standardContextual"/>
        </w:rPr>
      </w:pPr>
      <w:r w:rsidRPr="00F12C48">
        <w:rPr>
          <w:noProof/>
        </w:rPr>
        <w:t>1,3.</w:t>
      </w:r>
      <w:r w:rsidRPr="00F12C48">
        <w:rPr>
          <w:noProof/>
        </w:rPr>
        <w:tab/>
        <w:t>Ciele</w:t>
      </w:r>
      <w:r w:rsidRPr="00F12C48">
        <w:rPr>
          <w:noProof/>
        </w:rPr>
        <w:tab/>
      </w:r>
      <w:r w:rsidRPr="00F12C48">
        <w:rPr>
          <w:noProof/>
          <w:webHidden/>
        </w:rPr>
        <w:t>3</w:t>
      </w:r>
    </w:p>
    <w:p w14:paraId="0F356330" w14:textId="77777777" w:rsidR="00CA2B31" w:rsidRPr="00F12C48" w:rsidRDefault="00CA2B31" w:rsidP="00CA2B31">
      <w:pPr>
        <w:pStyle w:val="Obsah3"/>
        <w:rPr>
          <w:rFonts w:asciiTheme="minorHAnsi" w:eastAsiaTheme="minorEastAsia" w:hAnsiTheme="minorHAnsi" w:cstheme="minorBidi"/>
          <w:noProof/>
          <w:kern w:val="2"/>
          <w:sz w:val="22"/>
          <w14:ligatures w14:val="standardContextual"/>
        </w:rPr>
      </w:pPr>
      <w:r w:rsidRPr="00F12C48">
        <w:rPr>
          <w:noProof/>
        </w:rPr>
        <w:t>1.3.1.</w:t>
      </w:r>
      <w:r w:rsidRPr="00F12C48">
        <w:rPr>
          <w:noProof/>
        </w:rPr>
        <w:tab/>
        <w:t>Všeobecné ciele</w:t>
      </w:r>
      <w:r w:rsidRPr="00F12C48">
        <w:rPr>
          <w:noProof/>
        </w:rPr>
        <w:tab/>
      </w:r>
      <w:r w:rsidRPr="00F12C48">
        <w:rPr>
          <w:noProof/>
          <w:webHidden/>
        </w:rPr>
        <w:t>3</w:t>
      </w:r>
    </w:p>
    <w:p w14:paraId="0E2ADA45" w14:textId="77777777" w:rsidR="00CA2B31" w:rsidRPr="00F12C48" w:rsidRDefault="00CA2B31" w:rsidP="00CA2B31">
      <w:pPr>
        <w:pStyle w:val="Obsah3"/>
        <w:rPr>
          <w:rFonts w:asciiTheme="minorHAnsi" w:eastAsiaTheme="minorEastAsia" w:hAnsiTheme="minorHAnsi" w:cstheme="minorBidi"/>
          <w:noProof/>
          <w:kern w:val="2"/>
          <w:sz w:val="22"/>
          <w14:ligatures w14:val="standardContextual"/>
        </w:rPr>
      </w:pPr>
      <w:r w:rsidRPr="00F12C48">
        <w:rPr>
          <w:noProof/>
        </w:rPr>
        <w:t>1.3.2.</w:t>
      </w:r>
      <w:r w:rsidRPr="00F12C48">
        <w:rPr>
          <w:noProof/>
        </w:rPr>
        <w:tab/>
        <w:t>Špecifické ciele</w:t>
      </w:r>
      <w:r w:rsidRPr="00F12C48">
        <w:rPr>
          <w:noProof/>
        </w:rPr>
        <w:tab/>
      </w:r>
      <w:r w:rsidRPr="00F12C48">
        <w:rPr>
          <w:noProof/>
          <w:webHidden/>
        </w:rPr>
        <w:t>3</w:t>
      </w:r>
    </w:p>
    <w:p w14:paraId="1D043487" w14:textId="7A2E4578" w:rsidR="00CA2B31" w:rsidRPr="00F12C48" w:rsidRDefault="00CA2B31" w:rsidP="00CA2B31">
      <w:pPr>
        <w:pStyle w:val="Obsah3"/>
        <w:rPr>
          <w:rFonts w:asciiTheme="minorHAnsi" w:eastAsiaTheme="minorEastAsia" w:hAnsiTheme="minorHAnsi" w:cstheme="minorBidi"/>
          <w:noProof/>
          <w:kern w:val="2"/>
          <w:sz w:val="22"/>
          <w14:ligatures w14:val="standardContextual"/>
        </w:rPr>
      </w:pPr>
      <w:r w:rsidRPr="00F12C48">
        <w:rPr>
          <w:noProof/>
        </w:rPr>
        <w:t>1.3.3.</w:t>
      </w:r>
      <w:r w:rsidRPr="00F12C48">
        <w:rPr>
          <w:noProof/>
        </w:rPr>
        <w:tab/>
        <w:t>Očakávané výsledky</w:t>
      </w:r>
      <w:r w:rsidR="00F12C48">
        <w:rPr>
          <w:noProof/>
        </w:rPr>
        <w:t xml:space="preserve"> a </w:t>
      </w:r>
      <w:r w:rsidRPr="00F12C48">
        <w:rPr>
          <w:noProof/>
        </w:rPr>
        <w:t>vplyv</w:t>
      </w:r>
      <w:r w:rsidRPr="00F12C48">
        <w:rPr>
          <w:noProof/>
        </w:rPr>
        <w:tab/>
      </w:r>
      <w:r w:rsidRPr="00F12C48">
        <w:rPr>
          <w:noProof/>
          <w:webHidden/>
        </w:rPr>
        <w:t>3</w:t>
      </w:r>
    </w:p>
    <w:p w14:paraId="455FE001" w14:textId="77777777" w:rsidR="00CA2B31" w:rsidRPr="00F12C48" w:rsidRDefault="00CA2B31" w:rsidP="00CA2B31">
      <w:pPr>
        <w:pStyle w:val="Obsah3"/>
        <w:rPr>
          <w:rFonts w:asciiTheme="minorHAnsi" w:eastAsiaTheme="minorEastAsia" w:hAnsiTheme="minorHAnsi" w:cstheme="minorBidi"/>
          <w:noProof/>
          <w:kern w:val="2"/>
          <w:sz w:val="22"/>
          <w14:ligatures w14:val="standardContextual"/>
        </w:rPr>
      </w:pPr>
      <w:r w:rsidRPr="00F12C48">
        <w:rPr>
          <w:noProof/>
        </w:rPr>
        <w:t>1.3.4.</w:t>
      </w:r>
      <w:r w:rsidRPr="00F12C48">
        <w:rPr>
          <w:noProof/>
        </w:rPr>
        <w:tab/>
        <w:t>Ukazovatele výkonnosti</w:t>
      </w:r>
      <w:r w:rsidRPr="00F12C48">
        <w:rPr>
          <w:noProof/>
        </w:rPr>
        <w:tab/>
      </w:r>
      <w:r w:rsidRPr="00F12C48">
        <w:rPr>
          <w:noProof/>
          <w:webHidden/>
        </w:rPr>
        <w:t>3</w:t>
      </w:r>
    </w:p>
    <w:p w14:paraId="0A2172B7" w14:textId="77777777" w:rsidR="00CA2B31" w:rsidRPr="00F12C48" w:rsidRDefault="00CA2B31" w:rsidP="00CA2B31">
      <w:pPr>
        <w:pStyle w:val="Obsah2"/>
        <w:rPr>
          <w:rFonts w:asciiTheme="minorHAnsi" w:eastAsiaTheme="minorEastAsia" w:hAnsiTheme="minorHAnsi" w:cstheme="minorBidi"/>
          <w:noProof/>
          <w:kern w:val="2"/>
          <w:sz w:val="22"/>
          <w14:ligatures w14:val="standardContextual"/>
        </w:rPr>
      </w:pPr>
      <w:r w:rsidRPr="00F12C48">
        <w:rPr>
          <w:noProof/>
        </w:rPr>
        <w:t>1,4.</w:t>
      </w:r>
      <w:r w:rsidRPr="00F12C48">
        <w:rPr>
          <w:noProof/>
        </w:rPr>
        <w:tab/>
        <w:t>Návrh/iniciatíva sa týka</w:t>
      </w:r>
      <w:r w:rsidRPr="00F12C48">
        <w:rPr>
          <w:noProof/>
        </w:rPr>
        <w:tab/>
      </w:r>
      <w:r w:rsidRPr="00F12C48">
        <w:rPr>
          <w:noProof/>
          <w:webHidden/>
        </w:rPr>
        <w:t>4</w:t>
      </w:r>
    </w:p>
    <w:p w14:paraId="403A7C9F" w14:textId="77777777" w:rsidR="00CA2B31" w:rsidRPr="00F12C48" w:rsidRDefault="00CA2B31" w:rsidP="00CA2B31">
      <w:pPr>
        <w:pStyle w:val="Obsah2"/>
        <w:rPr>
          <w:rFonts w:asciiTheme="minorHAnsi" w:eastAsiaTheme="minorEastAsia" w:hAnsiTheme="minorHAnsi" w:cstheme="minorBidi"/>
          <w:noProof/>
          <w:kern w:val="2"/>
          <w:sz w:val="22"/>
          <w14:ligatures w14:val="standardContextual"/>
        </w:rPr>
      </w:pPr>
      <w:r w:rsidRPr="00F12C48">
        <w:rPr>
          <w:noProof/>
        </w:rPr>
        <w:t>1,5.</w:t>
      </w:r>
      <w:r w:rsidRPr="00F12C48">
        <w:rPr>
          <w:noProof/>
        </w:rPr>
        <w:tab/>
        <w:t>Dôvody návrhu/iniciatívy</w:t>
      </w:r>
      <w:r w:rsidRPr="00F12C48">
        <w:rPr>
          <w:noProof/>
        </w:rPr>
        <w:tab/>
      </w:r>
      <w:r w:rsidRPr="00F12C48">
        <w:rPr>
          <w:noProof/>
          <w:webHidden/>
        </w:rPr>
        <w:t>4</w:t>
      </w:r>
    </w:p>
    <w:p w14:paraId="1ECBA4B3" w14:textId="2E0136C4" w:rsidR="00CA2B31" w:rsidRPr="00F12C48" w:rsidRDefault="00CA2B31" w:rsidP="00CA2B31">
      <w:pPr>
        <w:pStyle w:val="Obsah3"/>
        <w:rPr>
          <w:rFonts w:asciiTheme="minorHAnsi" w:eastAsiaTheme="minorEastAsia" w:hAnsiTheme="minorHAnsi" w:cstheme="minorBidi"/>
          <w:noProof/>
          <w:kern w:val="2"/>
          <w:sz w:val="22"/>
          <w14:ligatures w14:val="standardContextual"/>
        </w:rPr>
      </w:pPr>
      <w:r w:rsidRPr="00F12C48">
        <w:rPr>
          <w:noProof/>
        </w:rPr>
        <w:t>1.5.1.</w:t>
      </w:r>
      <w:r w:rsidRPr="00F12C48">
        <w:rPr>
          <w:noProof/>
        </w:rPr>
        <w:tab/>
        <w:t>Požiadavky, ktoré sa majú splniť</w:t>
      </w:r>
      <w:r w:rsidR="00F12C48">
        <w:rPr>
          <w:noProof/>
        </w:rPr>
        <w:t xml:space="preserve"> v </w:t>
      </w:r>
      <w:r w:rsidRPr="00F12C48">
        <w:rPr>
          <w:noProof/>
        </w:rPr>
        <w:t>krátkodobom alebo dlhodobom horizonte vrátane podrobného harmonogramu prvotnej fázy vykonávania iniciatívy</w:t>
      </w:r>
      <w:r w:rsidRPr="00F12C48">
        <w:rPr>
          <w:noProof/>
        </w:rPr>
        <w:tab/>
      </w:r>
      <w:r w:rsidRPr="00F12C48">
        <w:rPr>
          <w:noProof/>
          <w:webHidden/>
        </w:rPr>
        <w:t>4</w:t>
      </w:r>
    </w:p>
    <w:p w14:paraId="057A1EB4" w14:textId="77777777" w:rsidR="00CA2B31" w:rsidRPr="00F12C48" w:rsidRDefault="00CA2B31" w:rsidP="00CA2B31">
      <w:pPr>
        <w:pStyle w:val="Obsah3"/>
        <w:rPr>
          <w:rFonts w:asciiTheme="minorHAnsi" w:eastAsiaTheme="minorEastAsia" w:hAnsiTheme="minorHAnsi" w:cstheme="minorBidi"/>
          <w:noProof/>
          <w:kern w:val="2"/>
          <w:sz w:val="22"/>
          <w14:ligatures w14:val="standardContextual"/>
        </w:rPr>
      </w:pPr>
      <w:r w:rsidRPr="00F12C48">
        <w:rPr>
          <w:noProof/>
        </w:rPr>
        <w:t>1.5.2.</w:t>
      </w:r>
      <w:r w:rsidRPr="00F12C48">
        <w:rPr>
          <w:noProof/>
        </w:rPr>
        <w:tab/>
        <w:t>Prínos zapojenia Európskej únie (môže byť výsledkom rôznych faktorov, napr. lepšej koordinácie, právnej istoty, väčšej účinnosti alebo komplementárnosti). Na účely tohto bodu je „prínos zapojenia Európskej únie“ hodnota vyplývajúca zo zásahu Európskej únie, ktorá dopĺňa hodnotu, ktorú by inak vytvorili len samotné členské štáty.</w:t>
      </w:r>
      <w:r w:rsidRPr="00F12C48">
        <w:rPr>
          <w:noProof/>
        </w:rPr>
        <w:tab/>
      </w:r>
      <w:r w:rsidRPr="00F12C48">
        <w:rPr>
          <w:noProof/>
          <w:webHidden/>
        </w:rPr>
        <w:t>4</w:t>
      </w:r>
    </w:p>
    <w:p w14:paraId="38F8914B" w14:textId="2DED8A9B" w:rsidR="00CA2B31" w:rsidRPr="00F12C48" w:rsidRDefault="00CA2B31" w:rsidP="00CA2B31">
      <w:pPr>
        <w:pStyle w:val="Obsah3"/>
        <w:rPr>
          <w:rFonts w:asciiTheme="minorHAnsi" w:eastAsiaTheme="minorEastAsia" w:hAnsiTheme="minorHAnsi" w:cstheme="minorBidi"/>
          <w:noProof/>
          <w:kern w:val="2"/>
          <w:sz w:val="22"/>
          <w14:ligatures w14:val="standardContextual"/>
        </w:rPr>
      </w:pPr>
      <w:r w:rsidRPr="00F12C48">
        <w:rPr>
          <w:noProof/>
        </w:rPr>
        <w:t>1.5.3.</w:t>
      </w:r>
      <w:r w:rsidRPr="00F12C48">
        <w:rPr>
          <w:noProof/>
        </w:rPr>
        <w:tab/>
        <w:t>Poznatky získané</w:t>
      </w:r>
      <w:r w:rsidR="00F12C48">
        <w:rPr>
          <w:noProof/>
        </w:rPr>
        <w:t xml:space="preserve"> z </w:t>
      </w:r>
      <w:r w:rsidRPr="00F12C48">
        <w:rPr>
          <w:noProof/>
        </w:rPr>
        <w:t>podobných skúseností</w:t>
      </w:r>
      <w:r w:rsidR="00F12C48">
        <w:rPr>
          <w:noProof/>
        </w:rPr>
        <w:t xml:space="preserve"> v </w:t>
      </w:r>
      <w:r w:rsidRPr="00F12C48">
        <w:rPr>
          <w:noProof/>
        </w:rPr>
        <w:t>minulosti</w:t>
      </w:r>
      <w:r w:rsidRPr="00F12C48">
        <w:rPr>
          <w:noProof/>
        </w:rPr>
        <w:tab/>
      </w:r>
      <w:r w:rsidRPr="00F12C48">
        <w:rPr>
          <w:noProof/>
          <w:webHidden/>
        </w:rPr>
        <w:t>4</w:t>
      </w:r>
    </w:p>
    <w:p w14:paraId="32EAC30A" w14:textId="327E1920" w:rsidR="00CA2B31" w:rsidRPr="00F12C48" w:rsidRDefault="00CA2B31" w:rsidP="00CA2B31">
      <w:pPr>
        <w:pStyle w:val="Obsah1"/>
        <w:rPr>
          <w:rFonts w:asciiTheme="minorHAnsi" w:eastAsiaTheme="minorEastAsia" w:hAnsiTheme="minorHAnsi" w:cstheme="minorBidi"/>
          <w:noProof/>
          <w:kern w:val="2"/>
          <w:sz w:val="22"/>
          <w14:ligatures w14:val="standardContextual"/>
        </w:rPr>
      </w:pPr>
      <w:r w:rsidRPr="00F12C48">
        <w:rPr>
          <w:noProof/>
        </w:rPr>
        <w:t>2.</w:t>
      </w:r>
      <w:r w:rsidRPr="00F12C48">
        <w:rPr>
          <w:noProof/>
        </w:rPr>
        <w:tab/>
        <w:t>OPATRENIA</w:t>
      </w:r>
      <w:r w:rsidR="00F12C48">
        <w:rPr>
          <w:noProof/>
        </w:rPr>
        <w:t xml:space="preserve"> V </w:t>
      </w:r>
      <w:r w:rsidRPr="00F12C48">
        <w:rPr>
          <w:noProof/>
        </w:rPr>
        <w:t>OBLASTI RIADENIA</w:t>
      </w:r>
      <w:r w:rsidRPr="00F12C48">
        <w:rPr>
          <w:noProof/>
        </w:rPr>
        <w:tab/>
      </w:r>
      <w:r w:rsidRPr="00F12C48">
        <w:rPr>
          <w:noProof/>
          <w:webHidden/>
        </w:rPr>
        <w:t>8</w:t>
      </w:r>
    </w:p>
    <w:p w14:paraId="73491379" w14:textId="1FA08F1E" w:rsidR="00CA2B31" w:rsidRPr="00F12C48" w:rsidRDefault="00CA2B31" w:rsidP="00CA2B31">
      <w:pPr>
        <w:pStyle w:val="Obsah2"/>
        <w:rPr>
          <w:rFonts w:asciiTheme="minorHAnsi" w:eastAsiaTheme="minorEastAsia" w:hAnsiTheme="minorHAnsi" w:cstheme="minorBidi"/>
          <w:noProof/>
          <w:kern w:val="2"/>
          <w:sz w:val="22"/>
          <w14:ligatures w14:val="standardContextual"/>
        </w:rPr>
      </w:pPr>
      <w:r w:rsidRPr="00F12C48">
        <w:rPr>
          <w:noProof/>
        </w:rPr>
        <w:t>2.1.</w:t>
      </w:r>
      <w:r w:rsidRPr="00F12C48">
        <w:rPr>
          <w:noProof/>
        </w:rPr>
        <w:tab/>
        <w:t>Zásady monitorovania</w:t>
      </w:r>
      <w:r w:rsidR="00F12C48">
        <w:rPr>
          <w:noProof/>
        </w:rPr>
        <w:t xml:space="preserve"> a </w:t>
      </w:r>
      <w:r w:rsidRPr="00F12C48">
        <w:rPr>
          <w:noProof/>
        </w:rPr>
        <w:t>predkladania správ</w:t>
      </w:r>
      <w:r w:rsidRPr="00F12C48">
        <w:rPr>
          <w:noProof/>
        </w:rPr>
        <w:tab/>
      </w:r>
      <w:r w:rsidRPr="00F12C48">
        <w:rPr>
          <w:noProof/>
          <w:webHidden/>
        </w:rPr>
        <w:t>8</w:t>
      </w:r>
    </w:p>
    <w:p w14:paraId="557CF5AD" w14:textId="12464D8D" w:rsidR="00CA2B31" w:rsidRPr="00F12C48" w:rsidRDefault="00CA2B31" w:rsidP="00CA2B31">
      <w:pPr>
        <w:pStyle w:val="Obsah2"/>
        <w:rPr>
          <w:rFonts w:asciiTheme="minorHAnsi" w:eastAsiaTheme="minorEastAsia" w:hAnsiTheme="minorHAnsi" w:cstheme="minorBidi"/>
          <w:noProof/>
          <w:kern w:val="2"/>
          <w:sz w:val="22"/>
          <w14:ligatures w14:val="standardContextual"/>
        </w:rPr>
      </w:pPr>
      <w:r w:rsidRPr="00F12C48">
        <w:rPr>
          <w:noProof/>
        </w:rPr>
        <w:t>2.2.</w:t>
      </w:r>
      <w:r w:rsidRPr="00F12C48">
        <w:rPr>
          <w:noProof/>
        </w:rPr>
        <w:tab/>
        <w:t>Systémy riadenia</w:t>
      </w:r>
      <w:r w:rsidR="00F12C48">
        <w:rPr>
          <w:noProof/>
        </w:rPr>
        <w:t xml:space="preserve"> a </w:t>
      </w:r>
      <w:r w:rsidRPr="00F12C48">
        <w:rPr>
          <w:noProof/>
        </w:rPr>
        <w:t>kontroly</w:t>
      </w:r>
      <w:r w:rsidRPr="00F12C48">
        <w:rPr>
          <w:noProof/>
        </w:rPr>
        <w:tab/>
      </w:r>
      <w:r w:rsidRPr="00F12C48">
        <w:rPr>
          <w:noProof/>
          <w:webHidden/>
        </w:rPr>
        <w:t>8</w:t>
      </w:r>
    </w:p>
    <w:p w14:paraId="35E9DD44" w14:textId="31B27E25" w:rsidR="00CA2B31" w:rsidRPr="00F12C48" w:rsidRDefault="00CA2B31" w:rsidP="00CA2B31">
      <w:pPr>
        <w:pStyle w:val="Obsah3"/>
        <w:rPr>
          <w:rFonts w:asciiTheme="minorHAnsi" w:eastAsiaTheme="minorEastAsia" w:hAnsiTheme="minorHAnsi" w:cstheme="minorBidi"/>
          <w:noProof/>
          <w:kern w:val="2"/>
          <w:sz w:val="22"/>
          <w14:ligatures w14:val="standardContextual"/>
        </w:rPr>
      </w:pPr>
      <w:r w:rsidRPr="00F12C48">
        <w:rPr>
          <w:noProof/>
        </w:rPr>
        <w:t>2.2.1.</w:t>
      </w:r>
      <w:r w:rsidRPr="00F12C48">
        <w:rPr>
          <w:noProof/>
        </w:rPr>
        <w:tab/>
        <w:t>Opodstatnenie navrhovaných metód plnenia rozpočtu, mechanizmov vykonávania financovania, spôsobov platby</w:t>
      </w:r>
      <w:r w:rsidR="00F12C48">
        <w:rPr>
          <w:noProof/>
        </w:rPr>
        <w:t xml:space="preserve"> a </w:t>
      </w:r>
      <w:r w:rsidRPr="00F12C48">
        <w:rPr>
          <w:noProof/>
        </w:rPr>
        <w:t>stratégie kontroly</w:t>
      </w:r>
      <w:r w:rsidRPr="00F12C48">
        <w:rPr>
          <w:noProof/>
        </w:rPr>
        <w:tab/>
      </w:r>
      <w:r w:rsidRPr="00F12C48">
        <w:rPr>
          <w:noProof/>
          <w:webHidden/>
        </w:rPr>
        <w:t>8</w:t>
      </w:r>
    </w:p>
    <w:p w14:paraId="67DA575D" w14:textId="78A78991" w:rsidR="00CA2B31" w:rsidRPr="00F12C48" w:rsidRDefault="00CA2B31" w:rsidP="00CA2B31">
      <w:pPr>
        <w:pStyle w:val="Obsah3"/>
        <w:rPr>
          <w:rFonts w:asciiTheme="minorHAnsi" w:eastAsiaTheme="minorEastAsia" w:hAnsiTheme="minorHAnsi" w:cstheme="minorBidi"/>
          <w:noProof/>
          <w:kern w:val="2"/>
          <w:sz w:val="22"/>
          <w14:ligatures w14:val="standardContextual"/>
        </w:rPr>
      </w:pPr>
      <w:r w:rsidRPr="00F12C48">
        <w:rPr>
          <w:noProof/>
        </w:rPr>
        <w:t>2.2.2.</w:t>
      </w:r>
      <w:r w:rsidRPr="00F12C48">
        <w:rPr>
          <w:noProof/>
        </w:rPr>
        <w:tab/>
        <w:t>Informácie</w:t>
      </w:r>
      <w:r w:rsidR="00F12C48">
        <w:rPr>
          <w:noProof/>
        </w:rPr>
        <w:t xml:space="preserve"> o </w:t>
      </w:r>
      <w:r w:rsidRPr="00F12C48">
        <w:rPr>
          <w:noProof/>
        </w:rPr>
        <w:t>zistených rizikách</w:t>
      </w:r>
      <w:r w:rsidR="00F12C48">
        <w:rPr>
          <w:noProof/>
        </w:rPr>
        <w:t xml:space="preserve"> a </w:t>
      </w:r>
      <w:r w:rsidRPr="00F12C48">
        <w:rPr>
          <w:noProof/>
        </w:rPr>
        <w:t>systémoch vnútornej kontroly zavedených na ich zmierňovanie</w:t>
      </w:r>
      <w:r w:rsidRPr="00F12C48">
        <w:rPr>
          <w:noProof/>
        </w:rPr>
        <w:tab/>
      </w:r>
      <w:r w:rsidRPr="00F12C48">
        <w:rPr>
          <w:noProof/>
          <w:webHidden/>
        </w:rPr>
        <w:t>8</w:t>
      </w:r>
    </w:p>
    <w:p w14:paraId="3E566693" w14:textId="50A438FE" w:rsidR="00CA2B31" w:rsidRPr="00F12C48" w:rsidRDefault="00CA2B31" w:rsidP="00CA2B31">
      <w:pPr>
        <w:pStyle w:val="Obsah3"/>
        <w:rPr>
          <w:rFonts w:asciiTheme="minorHAnsi" w:eastAsiaTheme="minorEastAsia" w:hAnsiTheme="minorHAnsi" w:cstheme="minorBidi"/>
          <w:noProof/>
          <w:kern w:val="2"/>
          <w:sz w:val="22"/>
          <w14:ligatures w14:val="standardContextual"/>
        </w:rPr>
      </w:pPr>
      <w:r w:rsidRPr="00F12C48">
        <w:rPr>
          <w:noProof/>
        </w:rPr>
        <w:t>2.2.3.</w:t>
      </w:r>
      <w:r w:rsidRPr="00F12C48">
        <w:rPr>
          <w:noProof/>
        </w:rPr>
        <w:tab/>
        <w:t>Odhad</w:t>
      </w:r>
      <w:r w:rsidR="00F12C48">
        <w:rPr>
          <w:noProof/>
        </w:rPr>
        <w:t xml:space="preserve"> a </w:t>
      </w:r>
      <w:r w:rsidRPr="00F12C48">
        <w:rPr>
          <w:noProof/>
        </w:rPr>
        <w:t>opodstatnenie nákladovej účinnosti kontrol (pomer medzi nákladmi na kontroly</w:t>
      </w:r>
      <w:r w:rsidR="00F12C48">
        <w:rPr>
          <w:noProof/>
        </w:rPr>
        <w:t xml:space="preserve"> a </w:t>
      </w:r>
      <w:r w:rsidRPr="00F12C48">
        <w:rPr>
          <w:noProof/>
        </w:rPr>
        <w:t>hodnotou súvisiacich riadených finančných prostriedkov)</w:t>
      </w:r>
      <w:r w:rsidR="00F12C48">
        <w:rPr>
          <w:noProof/>
        </w:rPr>
        <w:t xml:space="preserve"> a </w:t>
      </w:r>
      <w:r w:rsidRPr="00F12C48">
        <w:rPr>
          <w:noProof/>
        </w:rPr>
        <w:t>posúdenie očakávaných úrovní rizika chyby (pri platbe</w:t>
      </w:r>
      <w:r w:rsidR="00F12C48">
        <w:rPr>
          <w:noProof/>
        </w:rPr>
        <w:t xml:space="preserve"> a </w:t>
      </w:r>
      <w:r w:rsidRPr="00F12C48">
        <w:rPr>
          <w:noProof/>
        </w:rPr>
        <w:t>uzavretí)</w:t>
      </w:r>
      <w:r w:rsidRPr="00F12C48">
        <w:rPr>
          <w:noProof/>
        </w:rPr>
        <w:tab/>
      </w:r>
      <w:r w:rsidRPr="00F12C48">
        <w:rPr>
          <w:noProof/>
          <w:webHidden/>
        </w:rPr>
        <w:t>8</w:t>
      </w:r>
    </w:p>
    <w:p w14:paraId="13A9DC70" w14:textId="62071F08" w:rsidR="00CA2B31" w:rsidRPr="00F12C48" w:rsidRDefault="00CA2B31" w:rsidP="00CA2B31">
      <w:pPr>
        <w:pStyle w:val="Obsah2"/>
        <w:rPr>
          <w:rFonts w:asciiTheme="minorHAnsi" w:eastAsiaTheme="minorEastAsia" w:hAnsiTheme="minorHAnsi" w:cstheme="minorBidi"/>
          <w:noProof/>
          <w:kern w:val="2"/>
          <w:sz w:val="22"/>
          <w14:ligatures w14:val="standardContextual"/>
        </w:rPr>
      </w:pPr>
      <w:r w:rsidRPr="00F12C48">
        <w:rPr>
          <w:noProof/>
        </w:rPr>
        <w:t>2.3.</w:t>
      </w:r>
      <w:r w:rsidRPr="00F12C48">
        <w:rPr>
          <w:noProof/>
        </w:rPr>
        <w:tab/>
        <w:t>Opatrenia na predchádzanie podvodom</w:t>
      </w:r>
      <w:r w:rsidR="00F12C48">
        <w:rPr>
          <w:noProof/>
        </w:rPr>
        <w:t xml:space="preserve"> a </w:t>
      </w:r>
      <w:r w:rsidRPr="00F12C48">
        <w:rPr>
          <w:noProof/>
        </w:rPr>
        <w:t>nezrovnalostiam</w:t>
      </w:r>
      <w:r w:rsidRPr="00F12C48">
        <w:rPr>
          <w:noProof/>
        </w:rPr>
        <w:tab/>
      </w:r>
      <w:r w:rsidRPr="00F12C48">
        <w:rPr>
          <w:noProof/>
          <w:webHidden/>
        </w:rPr>
        <w:t>9</w:t>
      </w:r>
    </w:p>
    <w:p w14:paraId="767A6FA7" w14:textId="77777777" w:rsidR="00CA2B31" w:rsidRPr="00F12C48" w:rsidRDefault="00CA2B31" w:rsidP="00CA2B31">
      <w:pPr>
        <w:pStyle w:val="Obsah1"/>
        <w:rPr>
          <w:rFonts w:asciiTheme="minorHAnsi" w:eastAsiaTheme="minorEastAsia" w:hAnsiTheme="minorHAnsi" w:cstheme="minorBidi"/>
          <w:noProof/>
          <w:kern w:val="2"/>
          <w:sz w:val="22"/>
          <w14:ligatures w14:val="standardContextual"/>
        </w:rPr>
      </w:pPr>
      <w:r w:rsidRPr="00F12C48">
        <w:rPr>
          <w:noProof/>
        </w:rPr>
        <w:t>4.</w:t>
      </w:r>
      <w:r w:rsidRPr="00F12C48">
        <w:rPr>
          <w:noProof/>
        </w:rPr>
        <w:tab/>
      </w:r>
      <w:r w:rsidRPr="00F12C48">
        <w:rPr>
          <w:caps/>
          <w:noProof/>
        </w:rPr>
        <w:t>Digitálne rozmery</w:t>
      </w:r>
      <w:r w:rsidRPr="00F12C48">
        <w:rPr>
          <w:noProof/>
        </w:rPr>
        <w:tab/>
      </w:r>
      <w:r w:rsidRPr="00F12C48">
        <w:rPr>
          <w:noProof/>
          <w:webHidden/>
        </w:rPr>
        <w:t>29</w:t>
      </w:r>
    </w:p>
    <w:p w14:paraId="521A57FF" w14:textId="77777777" w:rsidR="00CA2B31" w:rsidRPr="00F12C48" w:rsidRDefault="00CA2B31" w:rsidP="00CA2B31">
      <w:pPr>
        <w:pStyle w:val="Obsah2"/>
        <w:rPr>
          <w:rFonts w:asciiTheme="minorHAnsi" w:eastAsiaTheme="minorEastAsia" w:hAnsiTheme="minorHAnsi" w:cstheme="minorBidi"/>
          <w:noProof/>
          <w:kern w:val="2"/>
          <w:sz w:val="22"/>
          <w14:ligatures w14:val="standardContextual"/>
        </w:rPr>
      </w:pPr>
      <w:r w:rsidRPr="00F12C48">
        <w:rPr>
          <w:noProof/>
        </w:rPr>
        <w:t>4.1.</w:t>
      </w:r>
      <w:r w:rsidRPr="00F12C48">
        <w:rPr>
          <w:noProof/>
        </w:rPr>
        <w:tab/>
        <w:t>Požiadavky digitálneho významu</w:t>
      </w:r>
      <w:r w:rsidRPr="00F12C48">
        <w:rPr>
          <w:noProof/>
        </w:rPr>
        <w:tab/>
      </w:r>
      <w:r w:rsidRPr="00F12C48">
        <w:rPr>
          <w:noProof/>
          <w:webHidden/>
        </w:rPr>
        <w:t>30</w:t>
      </w:r>
    </w:p>
    <w:p w14:paraId="57AEB511" w14:textId="77777777" w:rsidR="00CA2B31" w:rsidRPr="00F12C48" w:rsidRDefault="00CA2B31" w:rsidP="00CA2B31">
      <w:pPr>
        <w:pStyle w:val="Obsah2"/>
        <w:rPr>
          <w:rFonts w:asciiTheme="minorHAnsi" w:eastAsiaTheme="minorEastAsia" w:hAnsiTheme="minorHAnsi" w:cstheme="minorBidi"/>
          <w:noProof/>
          <w:kern w:val="2"/>
          <w:sz w:val="22"/>
          <w14:ligatures w14:val="standardContextual"/>
        </w:rPr>
      </w:pPr>
      <w:r w:rsidRPr="00F12C48">
        <w:rPr>
          <w:noProof/>
        </w:rPr>
        <w:t>4.2.</w:t>
      </w:r>
      <w:r w:rsidRPr="00F12C48">
        <w:rPr>
          <w:noProof/>
        </w:rPr>
        <w:tab/>
        <w:t>Údaje</w:t>
      </w:r>
      <w:r w:rsidRPr="00F12C48">
        <w:rPr>
          <w:noProof/>
        </w:rPr>
        <w:tab/>
      </w:r>
      <w:r w:rsidRPr="00F12C48">
        <w:rPr>
          <w:noProof/>
          <w:webHidden/>
        </w:rPr>
        <w:t>30</w:t>
      </w:r>
    </w:p>
    <w:p w14:paraId="64652870" w14:textId="77777777" w:rsidR="00CA2B31" w:rsidRPr="00F12C48" w:rsidRDefault="00CA2B31" w:rsidP="00CA2B31">
      <w:pPr>
        <w:pStyle w:val="Obsah2"/>
        <w:rPr>
          <w:rFonts w:asciiTheme="minorHAnsi" w:eastAsiaTheme="minorEastAsia" w:hAnsiTheme="minorHAnsi" w:cstheme="minorBidi"/>
          <w:noProof/>
          <w:kern w:val="2"/>
          <w:sz w:val="22"/>
          <w14:ligatures w14:val="standardContextual"/>
        </w:rPr>
      </w:pPr>
      <w:r w:rsidRPr="00F12C48">
        <w:rPr>
          <w:noProof/>
        </w:rPr>
        <w:t>4.3.</w:t>
      </w:r>
      <w:r w:rsidRPr="00F12C48">
        <w:rPr>
          <w:noProof/>
        </w:rPr>
        <w:tab/>
        <w:t>Digitálne riešenia</w:t>
      </w:r>
      <w:r w:rsidRPr="00F12C48">
        <w:rPr>
          <w:noProof/>
        </w:rPr>
        <w:tab/>
      </w:r>
      <w:r w:rsidRPr="00F12C48">
        <w:rPr>
          <w:noProof/>
          <w:webHidden/>
        </w:rPr>
        <w:t>31</w:t>
      </w:r>
    </w:p>
    <w:p w14:paraId="17CD33AC" w14:textId="77777777" w:rsidR="00CA2B31" w:rsidRPr="00F12C48" w:rsidRDefault="00CA2B31" w:rsidP="00CA2B31">
      <w:pPr>
        <w:pStyle w:val="Obsah2"/>
        <w:rPr>
          <w:rFonts w:asciiTheme="minorHAnsi" w:eastAsiaTheme="minorEastAsia" w:hAnsiTheme="minorHAnsi" w:cstheme="minorBidi"/>
          <w:noProof/>
          <w:kern w:val="2"/>
          <w:sz w:val="22"/>
          <w14:ligatures w14:val="standardContextual"/>
        </w:rPr>
      </w:pPr>
      <w:r w:rsidRPr="00F12C48">
        <w:rPr>
          <w:noProof/>
        </w:rPr>
        <w:t>4.4.</w:t>
      </w:r>
      <w:r w:rsidRPr="00F12C48">
        <w:rPr>
          <w:noProof/>
        </w:rPr>
        <w:tab/>
        <w:t>Posúdenie interoperability</w:t>
      </w:r>
      <w:r w:rsidRPr="00F12C48">
        <w:rPr>
          <w:noProof/>
        </w:rPr>
        <w:tab/>
      </w:r>
      <w:r w:rsidRPr="00F12C48">
        <w:rPr>
          <w:noProof/>
          <w:webHidden/>
        </w:rPr>
        <w:t>31</w:t>
      </w:r>
    </w:p>
    <w:p w14:paraId="3643FEF0" w14:textId="77777777" w:rsidR="00CA2B31" w:rsidRPr="00F12C48" w:rsidRDefault="00CA2B31" w:rsidP="00CA2B31">
      <w:pPr>
        <w:pStyle w:val="Obsah2"/>
        <w:rPr>
          <w:rFonts w:asciiTheme="minorHAnsi" w:eastAsiaTheme="minorEastAsia" w:hAnsiTheme="minorHAnsi" w:cstheme="minorBidi"/>
          <w:noProof/>
          <w:kern w:val="2"/>
          <w:sz w:val="22"/>
          <w14:ligatures w14:val="standardContextual"/>
        </w:rPr>
      </w:pPr>
      <w:r w:rsidRPr="00F12C48">
        <w:rPr>
          <w:noProof/>
        </w:rPr>
        <w:t>4.5.</w:t>
      </w:r>
      <w:r w:rsidRPr="00F12C48">
        <w:rPr>
          <w:noProof/>
        </w:rPr>
        <w:tab/>
        <w:t>Opatrenia na podporu digitálneho vykonávania</w:t>
      </w:r>
      <w:r w:rsidRPr="00F12C48">
        <w:rPr>
          <w:noProof/>
        </w:rPr>
        <w:tab/>
      </w:r>
      <w:r w:rsidRPr="00F12C48">
        <w:rPr>
          <w:noProof/>
          <w:webHidden/>
        </w:rPr>
        <w:t>32</w:t>
      </w:r>
    </w:p>
    <w:p w14:paraId="69981287" w14:textId="77777777" w:rsidR="00CA2B31" w:rsidRPr="00F12C48" w:rsidRDefault="00CA2B31" w:rsidP="00CA2B31">
      <w:pPr>
        <w:pStyle w:val="Obsah1"/>
        <w:ind w:left="0" w:firstLine="0"/>
        <w:rPr>
          <w:noProof/>
        </w:rPr>
        <w:sectPr w:rsidR="00CA2B31" w:rsidRPr="00F12C48" w:rsidSect="008434AF">
          <w:pgSz w:w="11907" w:h="16840" w:code="9"/>
          <w:pgMar w:top="1134" w:right="1418" w:bottom="1134" w:left="1418" w:header="709" w:footer="709" w:gutter="0"/>
          <w:pgNumType w:start="1"/>
          <w:cols w:space="720"/>
          <w:docGrid w:linePitch="360"/>
        </w:sectPr>
      </w:pPr>
    </w:p>
    <w:p w14:paraId="03FCBE5F" w14:textId="77777777" w:rsidR="00F12C48" w:rsidRDefault="00CA2B31" w:rsidP="00CA2B31">
      <w:pPr>
        <w:pStyle w:val="ManualHeading1"/>
        <w:rPr>
          <w:noProof/>
        </w:rPr>
      </w:pPr>
      <w:bookmarkStart w:id="2" w:name="_Toc514938007"/>
      <w:bookmarkStart w:id="3" w:name="_Toc520485025"/>
      <w:bookmarkStart w:id="4" w:name="_Toc160804567"/>
      <w:bookmarkStart w:id="5" w:name="_Toc167220259"/>
      <w:bookmarkStart w:id="6" w:name="_Toc177548992"/>
      <w:r w:rsidRPr="00F12C48">
        <w:rPr>
          <w:noProof/>
        </w:rPr>
        <w:lastRenderedPageBreak/>
        <w:t>1.</w:t>
      </w:r>
      <w:r w:rsidRPr="00F12C48">
        <w:rPr>
          <w:noProof/>
        </w:rPr>
        <w:tab/>
        <w:t>RÁMEC NÁVRHU/INICIATÍVY</w:t>
      </w:r>
      <w:bookmarkEnd w:id="2"/>
      <w:bookmarkEnd w:id="3"/>
      <w:bookmarkEnd w:id="4"/>
      <w:bookmarkEnd w:id="5"/>
      <w:bookmarkEnd w:id="6"/>
    </w:p>
    <w:p w14:paraId="7FF6FAED" w14:textId="5DBF03AC" w:rsidR="00CA2B31" w:rsidRPr="00F12C48" w:rsidRDefault="00CA2B31" w:rsidP="00CA2B31">
      <w:pPr>
        <w:pStyle w:val="ManualHeading2"/>
        <w:rPr>
          <w:noProof/>
        </w:rPr>
      </w:pPr>
      <w:bookmarkStart w:id="7" w:name="_Toc514938008"/>
      <w:bookmarkStart w:id="8" w:name="_Toc520485026"/>
      <w:bookmarkStart w:id="9" w:name="_Toc160804568"/>
      <w:bookmarkStart w:id="10" w:name="_Toc167220260"/>
      <w:bookmarkStart w:id="11" w:name="_Toc177548993"/>
      <w:r w:rsidRPr="00F12C48">
        <w:rPr>
          <w:noProof/>
        </w:rPr>
        <w:t>1.1.</w:t>
      </w:r>
      <w:r w:rsidRPr="00F12C48">
        <w:rPr>
          <w:noProof/>
        </w:rPr>
        <w:tab/>
        <w:t>Názov návrhu/iniciatívy</w:t>
      </w:r>
      <w:bookmarkEnd w:id="7"/>
      <w:bookmarkEnd w:id="8"/>
      <w:bookmarkEnd w:id="9"/>
      <w:bookmarkEnd w:id="10"/>
      <w:bookmarkEnd w:id="11"/>
    </w:p>
    <w:p w14:paraId="45C47977" w14:textId="77D691B5" w:rsidR="00F12C48" w:rsidRPr="004269D6" w:rsidRDefault="00CA2B31" w:rsidP="00DF6FDE">
      <w:pPr>
        <w:pStyle w:val="Text1"/>
        <w:pBdr>
          <w:top w:val="single" w:sz="4" w:space="1" w:color="auto"/>
          <w:left w:val="single" w:sz="4" w:space="4" w:color="auto"/>
          <w:bottom w:val="single" w:sz="4" w:space="1" w:color="auto"/>
          <w:right w:val="single" w:sz="4" w:space="4" w:color="auto"/>
        </w:pBdr>
        <w:rPr>
          <w:noProof/>
          <w:spacing w:val="-4"/>
        </w:rPr>
      </w:pPr>
      <w:r w:rsidRPr="004269D6">
        <w:rPr>
          <w:noProof/>
          <w:spacing w:val="-4"/>
        </w:rPr>
        <w:t>Návrh smernice Európskeho parlamentu</w:t>
      </w:r>
      <w:r w:rsidR="00F12C48" w:rsidRPr="004269D6">
        <w:rPr>
          <w:noProof/>
          <w:spacing w:val="-4"/>
        </w:rPr>
        <w:t xml:space="preserve"> a </w:t>
      </w:r>
      <w:r w:rsidRPr="004269D6">
        <w:rPr>
          <w:noProof/>
          <w:spacing w:val="-4"/>
        </w:rPr>
        <w:t>Rady, ktorou sa menia smernice (EÚ) 2022/2464</w:t>
      </w:r>
      <w:r w:rsidR="00F12C48" w:rsidRPr="004269D6">
        <w:rPr>
          <w:noProof/>
          <w:spacing w:val="-4"/>
        </w:rPr>
        <w:t xml:space="preserve"> a </w:t>
      </w:r>
      <w:r w:rsidRPr="004269D6">
        <w:rPr>
          <w:noProof/>
          <w:spacing w:val="-4"/>
        </w:rPr>
        <w:t>(EÚ) 2024/1760, pokiaľ ide</w:t>
      </w:r>
      <w:r w:rsidR="00F12C48" w:rsidRPr="004269D6">
        <w:rPr>
          <w:noProof/>
          <w:spacing w:val="-4"/>
        </w:rPr>
        <w:t xml:space="preserve"> o </w:t>
      </w:r>
      <w:r w:rsidRPr="004269D6">
        <w:rPr>
          <w:noProof/>
          <w:spacing w:val="-4"/>
        </w:rPr>
        <w:t>určité požiadavky na vykazovanie informácií</w:t>
      </w:r>
      <w:r w:rsidR="00F12C48" w:rsidRPr="004269D6">
        <w:rPr>
          <w:noProof/>
          <w:spacing w:val="-4"/>
        </w:rPr>
        <w:t xml:space="preserve"> o </w:t>
      </w:r>
      <w:r w:rsidRPr="004269D6">
        <w:rPr>
          <w:noProof/>
          <w:spacing w:val="-4"/>
        </w:rPr>
        <w:t>udržateľnosti podnikov</w:t>
      </w:r>
      <w:r w:rsidR="00F12C48" w:rsidRPr="004269D6">
        <w:rPr>
          <w:noProof/>
          <w:spacing w:val="-4"/>
        </w:rPr>
        <w:t xml:space="preserve"> a </w:t>
      </w:r>
      <w:r w:rsidRPr="004269D6">
        <w:rPr>
          <w:noProof/>
          <w:spacing w:val="-4"/>
        </w:rPr>
        <w:t>náležitú starostlivosť podnikov</w:t>
      </w:r>
      <w:r w:rsidR="00F12C48" w:rsidRPr="004269D6">
        <w:rPr>
          <w:noProof/>
          <w:spacing w:val="-4"/>
        </w:rPr>
        <w:t xml:space="preserve"> v </w:t>
      </w:r>
      <w:r w:rsidRPr="004269D6">
        <w:rPr>
          <w:noProof/>
          <w:spacing w:val="-4"/>
        </w:rPr>
        <w:t>oblasti udržateľnosti</w:t>
      </w:r>
      <w:r w:rsidR="00F12C48" w:rsidRPr="004269D6">
        <w:rPr>
          <w:noProof/>
          <w:spacing w:val="-4"/>
        </w:rPr>
        <w:t>.</w:t>
      </w:r>
    </w:p>
    <w:p w14:paraId="37B49CD9" w14:textId="77777777" w:rsidR="00F12C48" w:rsidRPr="004269D6" w:rsidRDefault="00CA2B31" w:rsidP="00CA2B31">
      <w:pPr>
        <w:pStyle w:val="ManualHeading2"/>
        <w:rPr>
          <w:i/>
          <w:noProof/>
          <w:spacing w:val="-4"/>
        </w:rPr>
      </w:pPr>
      <w:bookmarkStart w:id="12" w:name="_Toc514938011"/>
      <w:bookmarkStart w:id="13" w:name="_Toc520485027"/>
      <w:bookmarkStart w:id="14" w:name="_Toc160804569"/>
      <w:bookmarkStart w:id="15" w:name="_Toc167220261"/>
      <w:bookmarkStart w:id="16" w:name="_Toc177548994"/>
      <w:r w:rsidRPr="004269D6">
        <w:rPr>
          <w:noProof/>
          <w:spacing w:val="-4"/>
        </w:rPr>
        <w:t>1.2.</w:t>
      </w:r>
      <w:r w:rsidRPr="004269D6">
        <w:rPr>
          <w:noProof/>
          <w:spacing w:val="-4"/>
        </w:rPr>
        <w:tab/>
        <w:t>Príslušné oblasti politiky</w:t>
      </w:r>
      <w:bookmarkEnd w:id="12"/>
      <w:bookmarkEnd w:id="13"/>
      <w:bookmarkEnd w:id="14"/>
      <w:bookmarkEnd w:id="15"/>
      <w:bookmarkEnd w:id="16"/>
    </w:p>
    <w:p w14:paraId="2E457D85" w14:textId="77777777" w:rsidR="00F12C48" w:rsidRPr="004269D6" w:rsidRDefault="00CA2B31" w:rsidP="00CA2B31">
      <w:pPr>
        <w:pStyle w:val="Text1"/>
        <w:pBdr>
          <w:top w:val="single" w:sz="4" w:space="1" w:color="auto"/>
          <w:left w:val="single" w:sz="4" w:space="4" w:color="auto"/>
          <w:bottom w:val="single" w:sz="4" w:space="1" w:color="auto"/>
          <w:right w:val="single" w:sz="4" w:space="4" w:color="auto"/>
        </w:pBdr>
        <w:rPr>
          <w:noProof/>
          <w:spacing w:val="-4"/>
        </w:rPr>
      </w:pPr>
      <w:r w:rsidRPr="004269D6">
        <w:rPr>
          <w:noProof/>
          <w:spacing w:val="-4"/>
        </w:rPr>
        <w:t>Únia kapitálových trhov, únia úspor</w:t>
      </w:r>
      <w:r w:rsidR="00F12C48" w:rsidRPr="004269D6">
        <w:rPr>
          <w:noProof/>
          <w:spacing w:val="-4"/>
        </w:rPr>
        <w:t xml:space="preserve"> a </w:t>
      </w:r>
      <w:r w:rsidRPr="004269D6">
        <w:rPr>
          <w:noProof/>
          <w:spacing w:val="-4"/>
        </w:rPr>
        <w:t>investícií, Európska zelená dohoda, stratégia udržateľného financovania, právo obchodných spoločností</w:t>
      </w:r>
      <w:r w:rsidR="00F12C48" w:rsidRPr="004269D6">
        <w:rPr>
          <w:noProof/>
          <w:spacing w:val="-4"/>
        </w:rPr>
        <w:t xml:space="preserve"> a </w:t>
      </w:r>
      <w:r w:rsidRPr="004269D6">
        <w:rPr>
          <w:noProof/>
          <w:spacing w:val="-4"/>
        </w:rPr>
        <w:t>správa</w:t>
      </w:r>
      <w:r w:rsidR="00F12C48" w:rsidRPr="004269D6">
        <w:rPr>
          <w:noProof/>
          <w:spacing w:val="-4"/>
        </w:rPr>
        <w:t xml:space="preserve"> a </w:t>
      </w:r>
      <w:r w:rsidRPr="004269D6">
        <w:rPr>
          <w:noProof/>
          <w:spacing w:val="-4"/>
        </w:rPr>
        <w:t>riadenie spoločností</w:t>
      </w:r>
    </w:p>
    <w:p w14:paraId="4028EEA9" w14:textId="26F208BA" w:rsidR="00CA2B31" w:rsidRPr="00F12C48" w:rsidRDefault="00CA2B31" w:rsidP="00CA2B31">
      <w:pPr>
        <w:pStyle w:val="ManualHeading2"/>
        <w:rPr>
          <w:noProof/>
        </w:rPr>
      </w:pPr>
      <w:bookmarkStart w:id="17" w:name="_Toc514938015"/>
      <w:bookmarkStart w:id="18" w:name="_Toc520485029"/>
      <w:bookmarkStart w:id="19" w:name="_Toc160804571"/>
      <w:bookmarkStart w:id="20" w:name="_Toc167220263"/>
      <w:bookmarkStart w:id="21" w:name="_Toc177548995"/>
      <w:r w:rsidRPr="00F12C48">
        <w:rPr>
          <w:noProof/>
        </w:rPr>
        <w:t>1.3.</w:t>
      </w:r>
      <w:r w:rsidRPr="00F12C48">
        <w:rPr>
          <w:noProof/>
        </w:rPr>
        <w:tab/>
        <w:t>Ciele</w:t>
      </w:r>
      <w:bookmarkEnd w:id="17"/>
      <w:bookmarkEnd w:id="18"/>
      <w:bookmarkEnd w:id="19"/>
      <w:bookmarkEnd w:id="20"/>
      <w:bookmarkEnd w:id="21"/>
    </w:p>
    <w:p w14:paraId="7D58B297" w14:textId="77777777" w:rsidR="00CA2B31" w:rsidRPr="00F12C48" w:rsidRDefault="00CA2B31" w:rsidP="00CA2B31">
      <w:pPr>
        <w:pStyle w:val="ManualHeading3"/>
        <w:rPr>
          <w:noProof/>
        </w:rPr>
      </w:pPr>
      <w:bookmarkStart w:id="22" w:name="_Toc514938016"/>
      <w:bookmarkStart w:id="23" w:name="_Toc520485030"/>
      <w:bookmarkStart w:id="24" w:name="_Toc160804572"/>
      <w:bookmarkStart w:id="25" w:name="_Toc167220264"/>
      <w:bookmarkStart w:id="26" w:name="_Toc177548996"/>
      <w:r w:rsidRPr="00F12C48">
        <w:rPr>
          <w:noProof/>
        </w:rPr>
        <w:t>1.3.1.</w:t>
      </w:r>
      <w:r w:rsidRPr="00F12C48">
        <w:rPr>
          <w:noProof/>
        </w:rPr>
        <w:tab/>
        <w:t>Všeobecné ciele</w:t>
      </w:r>
      <w:bookmarkEnd w:id="22"/>
      <w:bookmarkEnd w:id="23"/>
      <w:bookmarkEnd w:id="24"/>
      <w:bookmarkEnd w:id="25"/>
      <w:bookmarkEnd w:id="26"/>
    </w:p>
    <w:p w14:paraId="4EC84BF5" w14:textId="5C7E31B7" w:rsidR="00CA2B31" w:rsidRPr="00F12C48" w:rsidRDefault="00CA2B31" w:rsidP="00CA2B31">
      <w:pPr>
        <w:pStyle w:val="Text1"/>
        <w:pBdr>
          <w:top w:val="single" w:sz="4" w:space="1" w:color="auto"/>
          <w:left w:val="single" w:sz="4" w:space="4" w:color="auto"/>
          <w:bottom w:val="single" w:sz="4" w:space="1" w:color="auto"/>
          <w:right w:val="single" w:sz="4" w:space="4" w:color="auto"/>
        </w:pBdr>
        <w:rPr>
          <w:noProof/>
        </w:rPr>
      </w:pPr>
      <w:r w:rsidRPr="00F12C48">
        <w:rPr>
          <w:noProof/>
        </w:rPr>
        <w:t>Všeobecnými cieľmi tohto legislatívneho návrhu je zjednodušiť</w:t>
      </w:r>
      <w:r w:rsidR="00F12C48">
        <w:rPr>
          <w:noProof/>
        </w:rPr>
        <w:t xml:space="preserve"> a </w:t>
      </w:r>
      <w:r w:rsidRPr="00F12C48">
        <w:rPr>
          <w:noProof/>
        </w:rPr>
        <w:t>zredukovať určité prvky smernice 2006/43/ES, smernice 2013/34/EÚ, smernice (EÚ) 2022/2464</w:t>
      </w:r>
      <w:r w:rsidR="00F12C48">
        <w:rPr>
          <w:noProof/>
        </w:rPr>
        <w:t xml:space="preserve"> a </w:t>
      </w:r>
      <w:r w:rsidRPr="00F12C48">
        <w:rPr>
          <w:noProof/>
        </w:rPr>
        <w:t>smernice (EÚ) 2024/1760</w:t>
      </w:r>
      <w:r w:rsidR="00F12C48">
        <w:rPr>
          <w:noProof/>
        </w:rPr>
        <w:t xml:space="preserve"> v </w:t>
      </w:r>
      <w:r w:rsidRPr="00F12C48">
        <w:rPr>
          <w:noProof/>
        </w:rPr>
        <w:t>snahe zmierniť zaťaženie spoločností patriacich do rozsahu pôsobnosti požiadaviek</w:t>
      </w:r>
      <w:r w:rsidR="00F12C48">
        <w:rPr>
          <w:noProof/>
        </w:rPr>
        <w:t xml:space="preserve"> v </w:t>
      </w:r>
      <w:r w:rsidRPr="00F12C48">
        <w:rPr>
          <w:noProof/>
        </w:rPr>
        <w:t>oblasti vykazovania informácií.</w:t>
      </w:r>
    </w:p>
    <w:p w14:paraId="58E20F84" w14:textId="0372FBE1" w:rsidR="00F12C48" w:rsidRDefault="00CA2B31" w:rsidP="00DF6FDE">
      <w:pPr>
        <w:pStyle w:val="Text1"/>
        <w:pBdr>
          <w:top w:val="single" w:sz="4" w:space="1" w:color="auto"/>
          <w:left w:val="single" w:sz="4" w:space="4" w:color="auto"/>
          <w:bottom w:val="single" w:sz="4" w:space="1" w:color="auto"/>
          <w:right w:val="single" w:sz="4" w:space="4" w:color="auto"/>
        </w:pBdr>
        <w:rPr>
          <w:noProof/>
        </w:rPr>
      </w:pPr>
      <w:r w:rsidRPr="00F12C48">
        <w:rPr>
          <w:noProof/>
        </w:rPr>
        <w:t>Cieľom tohto návrhu je zvýšiť proporcionalitu rámca</w:t>
      </w:r>
      <w:r w:rsidR="00F12C48">
        <w:rPr>
          <w:noProof/>
        </w:rPr>
        <w:t xml:space="preserve"> a </w:t>
      </w:r>
      <w:r w:rsidRPr="00F12C48">
        <w:rPr>
          <w:noProof/>
        </w:rPr>
        <w:t>konkurencieschopnosť európskych spoločností</w:t>
      </w:r>
      <w:r w:rsidR="00F12C48">
        <w:rPr>
          <w:noProof/>
        </w:rPr>
        <w:t xml:space="preserve"> a </w:t>
      </w:r>
      <w:r w:rsidRPr="00F12C48">
        <w:rPr>
          <w:noProof/>
        </w:rPr>
        <w:t>zároveň zachovať ciele Európskej zelenej dohody,</w:t>
      </w:r>
      <w:r w:rsidR="00F12C48">
        <w:rPr>
          <w:noProof/>
        </w:rPr>
        <w:t xml:space="preserve"> a </w:t>
      </w:r>
      <w:r w:rsidRPr="00F12C48">
        <w:rPr>
          <w:noProof/>
        </w:rPr>
        <w:t>to znížením administratívnej záťaže spojenej</w:t>
      </w:r>
      <w:r w:rsidR="00F12C48">
        <w:rPr>
          <w:noProof/>
        </w:rPr>
        <w:t xml:space="preserve"> s </w:t>
      </w:r>
      <w:r w:rsidRPr="00F12C48">
        <w:rPr>
          <w:noProof/>
        </w:rPr>
        <w:t>požiadavkami na vykazovanie informácií</w:t>
      </w:r>
      <w:r w:rsidR="00F12C48">
        <w:rPr>
          <w:noProof/>
        </w:rPr>
        <w:t xml:space="preserve"> a </w:t>
      </w:r>
      <w:r w:rsidRPr="00F12C48">
        <w:rPr>
          <w:noProof/>
        </w:rPr>
        <w:t>nákladmi na dodržiavanie súladu</w:t>
      </w:r>
      <w:r w:rsidR="00F12C48">
        <w:rPr>
          <w:noProof/>
        </w:rPr>
        <w:t xml:space="preserve"> s </w:t>
      </w:r>
      <w:r w:rsidRPr="00F12C48">
        <w:rPr>
          <w:noProof/>
        </w:rPr>
        <w:t>požiadavkami</w:t>
      </w:r>
      <w:r w:rsidR="00F12C48">
        <w:rPr>
          <w:noProof/>
        </w:rPr>
        <w:t xml:space="preserve"> v </w:t>
      </w:r>
      <w:r w:rsidRPr="00F12C48">
        <w:rPr>
          <w:noProof/>
        </w:rPr>
        <w:t>oblasti vykazovania informácií</w:t>
      </w:r>
      <w:r w:rsidR="00F12C48">
        <w:rPr>
          <w:noProof/>
        </w:rPr>
        <w:t xml:space="preserve"> o </w:t>
      </w:r>
      <w:r w:rsidRPr="00F12C48">
        <w:rPr>
          <w:noProof/>
        </w:rPr>
        <w:t>udržateľnosti, ktoré vyplývajú</w:t>
      </w:r>
      <w:r w:rsidR="00F12C48">
        <w:rPr>
          <w:noProof/>
        </w:rPr>
        <w:t xml:space="preserve"> z </w:t>
      </w:r>
      <w:r w:rsidRPr="00F12C48">
        <w:rPr>
          <w:noProof/>
        </w:rPr>
        <w:t>uvedených právnych predpisov</w:t>
      </w:r>
      <w:r w:rsidR="00F12C48">
        <w:rPr>
          <w:noProof/>
        </w:rPr>
        <w:t>.</w:t>
      </w:r>
    </w:p>
    <w:p w14:paraId="07026537" w14:textId="5CFFB57B" w:rsidR="00CA2B31" w:rsidRPr="00F12C48" w:rsidRDefault="00CA2B31" w:rsidP="00CA2B31">
      <w:pPr>
        <w:pStyle w:val="ManualHeading3"/>
        <w:rPr>
          <w:noProof/>
        </w:rPr>
      </w:pPr>
      <w:bookmarkStart w:id="27" w:name="_Toc514938018"/>
      <w:bookmarkStart w:id="28" w:name="_Toc520485031"/>
      <w:bookmarkStart w:id="29" w:name="_Toc160804573"/>
      <w:bookmarkStart w:id="30" w:name="_Toc167220265"/>
      <w:bookmarkStart w:id="31" w:name="_Toc177548997"/>
      <w:r w:rsidRPr="00F12C48">
        <w:rPr>
          <w:noProof/>
        </w:rPr>
        <w:t>1.3.2.</w:t>
      </w:r>
      <w:r w:rsidRPr="00F12C48">
        <w:rPr>
          <w:noProof/>
        </w:rPr>
        <w:tab/>
        <w:t>Špecifické ciele</w:t>
      </w:r>
      <w:bookmarkEnd w:id="27"/>
      <w:bookmarkEnd w:id="28"/>
      <w:bookmarkEnd w:id="29"/>
      <w:bookmarkEnd w:id="30"/>
      <w:bookmarkEnd w:id="31"/>
    </w:p>
    <w:p w14:paraId="7DCF3270" w14:textId="23B58F8A" w:rsidR="00F12C48" w:rsidRDefault="00CA2B31" w:rsidP="00A147FF">
      <w:pPr>
        <w:pStyle w:val="Text1"/>
        <w:pBdr>
          <w:top w:val="single" w:sz="4" w:space="1" w:color="auto"/>
          <w:left w:val="single" w:sz="4" w:space="4" w:color="auto"/>
          <w:bottom w:val="single" w:sz="4" w:space="1" w:color="auto"/>
          <w:right w:val="single" w:sz="4" w:space="4" w:color="auto"/>
        </w:pBdr>
        <w:rPr>
          <w:noProof/>
        </w:rPr>
      </w:pPr>
      <w:r w:rsidRPr="00F12C48">
        <w:rPr>
          <w:noProof/>
        </w:rPr>
        <w:t>Špecifické ciele navrhovaných zmien smernice (EÚ) 2022/2464 zahrnuté</w:t>
      </w:r>
      <w:r w:rsidR="00F12C48">
        <w:rPr>
          <w:noProof/>
        </w:rPr>
        <w:t xml:space="preserve"> v </w:t>
      </w:r>
      <w:r w:rsidRPr="00F12C48">
        <w:rPr>
          <w:noProof/>
        </w:rPr>
        <w:t>tomto návrhu sa zameriavajú na dosiahnutie týchto výsledkov</w:t>
      </w:r>
      <w:r w:rsidR="00F12C48">
        <w:rPr>
          <w:noProof/>
        </w:rPr>
        <w:t>:</w:t>
      </w:r>
    </w:p>
    <w:p w14:paraId="758D44ED" w14:textId="3A3C5ABE" w:rsidR="00F12C48" w:rsidRDefault="00CA2B31" w:rsidP="00B90811">
      <w:pPr>
        <w:pStyle w:val="Tiret1"/>
        <w:numPr>
          <w:ilvl w:val="0"/>
          <w:numId w:val="21"/>
        </w:numPr>
        <w:rPr>
          <w:noProof/>
        </w:rPr>
      </w:pPr>
      <w:r w:rsidRPr="00F12C48">
        <w:rPr>
          <w:noProof/>
        </w:rPr>
        <w:t>Odložiť požiadavky na vykazovanie informácií</w:t>
      </w:r>
      <w:r w:rsidR="00F12C48">
        <w:rPr>
          <w:noProof/>
        </w:rPr>
        <w:t xml:space="preserve"> o </w:t>
      </w:r>
      <w:r w:rsidRPr="00F12C48">
        <w:rPr>
          <w:noProof/>
        </w:rPr>
        <w:t>udržateľnosti pre spoločnosti</w:t>
      </w:r>
      <w:r w:rsidR="00F12C48">
        <w:rPr>
          <w:noProof/>
        </w:rPr>
        <w:t xml:space="preserve"> v </w:t>
      </w:r>
      <w:r w:rsidRPr="00F12C48">
        <w:rPr>
          <w:noProof/>
        </w:rPr>
        <w:t>druhej</w:t>
      </w:r>
      <w:r w:rsidR="00F12C48">
        <w:rPr>
          <w:noProof/>
        </w:rPr>
        <w:t xml:space="preserve"> a </w:t>
      </w:r>
      <w:r w:rsidRPr="00F12C48">
        <w:rPr>
          <w:noProof/>
        </w:rPr>
        <w:t>tretej vlne</w:t>
      </w:r>
      <w:r w:rsidR="00F12C48">
        <w:rPr>
          <w:noProof/>
        </w:rPr>
        <w:t xml:space="preserve"> o </w:t>
      </w:r>
      <w:r w:rsidRPr="00F12C48">
        <w:rPr>
          <w:noProof/>
        </w:rPr>
        <w:t>dva roky</w:t>
      </w:r>
      <w:r w:rsidR="00F12C48">
        <w:rPr>
          <w:noProof/>
        </w:rPr>
        <w:t>.</w:t>
      </w:r>
    </w:p>
    <w:p w14:paraId="6EEF9F12" w14:textId="5D0B6B33" w:rsidR="00F12C48" w:rsidRDefault="00CA2B31" w:rsidP="00CA2B31">
      <w:pPr>
        <w:pStyle w:val="Text1"/>
        <w:pBdr>
          <w:top w:val="single" w:sz="4" w:space="1" w:color="auto"/>
          <w:left w:val="single" w:sz="4" w:space="4" w:color="auto"/>
          <w:bottom w:val="single" w:sz="4" w:space="1" w:color="auto"/>
          <w:right w:val="single" w:sz="4" w:space="4" w:color="auto"/>
        </w:pBdr>
        <w:rPr>
          <w:noProof/>
        </w:rPr>
      </w:pPr>
      <w:r w:rsidRPr="00F12C48">
        <w:rPr>
          <w:noProof/>
        </w:rPr>
        <w:t>Špecifické ciele navrhovaných zmien smernice (EÚ) 2024/1760 zahrnuté</w:t>
      </w:r>
      <w:r w:rsidR="00F12C48">
        <w:rPr>
          <w:noProof/>
        </w:rPr>
        <w:t xml:space="preserve"> v </w:t>
      </w:r>
      <w:r w:rsidRPr="00F12C48">
        <w:rPr>
          <w:noProof/>
        </w:rPr>
        <w:t>tomto návrhu sa zameriavajú na dosiahnutie týchto výsledkov</w:t>
      </w:r>
      <w:r w:rsidR="00F12C48">
        <w:rPr>
          <w:noProof/>
        </w:rPr>
        <w:t>:</w:t>
      </w:r>
    </w:p>
    <w:p w14:paraId="212188E2" w14:textId="08346F57" w:rsidR="003F2BB2" w:rsidRPr="00F12C48" w:rsidRDefault="004D5429" w:rsidP="00DD2BEC">
      <w:pPr>
        <w:pStyle w:val="Tiret1"/>
        <w:rPr>
          <w:noProof/>
        </w:rPr>
      </w:pPr>
      <w:r w:rsidRPr="00F12C48">
        <w:rPr>
          <w:noProof/>
        </w:rPr>
        <w:t>Odložiť lehotu na transpozíciu</w:t>
      </w:r>
      <w:r w:rsidR="00F12C48">
        <w:rPr>
          <w:noProof/>
        </w:rPr>
        <w:t xml:space="preserve"> a </w:t>
      </w:r>
      <w:r w:rsidRPr="00F12C48">
        <w:rPr>
          <w:noProof/>
        </w:rPr>
        <w:t>uplatňovanie požiadaviek náležitej starostlivosti</w:t>
      </w:r>
      <w:r w:rsidR="00F12C48">
        <w:rPr>
          <w:noProof/>
        </w:rPr>
        <w:t xml:space="preserve"> v </w:t>
      </w:r>
      <w:r w:rsidRPr="00F12C48">
        <w:rPr>
          <w:noProof/>
        </w:rPr>
        <w:t>oblasti udržateľnosti pre spoločnosti</w:t>
      </w:r>
      <w:r w:rsidR="00F12C48">
        <w:rPr>
          <w:noProof/>
        </w:rPr>
        <w:t xml:space="preserve"> v </w:t>
      </w:r>
      <w:r w:rsidRPr="00F12C48">
        <w:rPr>
          <w:noProof/>
        </w:rPr>
        <w:t>prvej vlne</w:t>
      </w:r>
      <w:r w:rsidR="00F12C48">
        <w:rPr>
          <w:noProof/>
        </w:rPr>
        <w:t xml:space="preserve"> o </w:t>
      </w:r>
      <w:r w:rsidRPr="00F12C48">
        <w:rPr>
          <w:noProof/>
        </w:rPr>
        <w:t>jeden rok.</w:t>
      </w:r>
    </w:p>
    <w:p w14:paraId="1E8CF8FB" w14:textId="401F6A13" w:rsidR="00CA2B31" w:rsidRPr="00F12C48" w:rsidRDefault="00CA2B31" w:rsidP="00CA2B31">
      <w:pPr>
        <w:pStyle w:val="ManualHeading3"/>
        <w:rPr>
          <w:noProof/>
        </w:rPr>
      </w:pPr>
      <w:bookmarkStart w:id="32" w:name="_Toc514938019"/>
      <w:bookmarkStart w:id="33" w:name="_Toc520485032"/>
      <w:bookmarkStart w:id="34" w:name="_Toc160804574"/>
      <w:bookmarkStart w:id="35" w:name="_Toc167220266"/>
      <w:bookmarkStart w:id="36" w:name="_Toc177548998"/>
      <w:r w:rsidRPr="00F12C48">
        <w:rPr>
          <w:noProof/>
        </w:rPr>
        <w:t>1.3.3.</w:t>
      </w:r>
      <w:r w:rsidRPr="00F12C48">
        <w:rPr>
          <w:noProof/>
        </w:rPr>
        <w:tab/>
        <w:t>Očakávané výsledky</w:t>
      </w:r>
      <w:r w:rsidR="00F12C48">
        <w:rPr>
          <w:noProof/>
        </w:rPr>
        <w:t xml:space="preserve"> a </w:t>
      </w:r>
      <w:r w:rsidRPr="00F12C48">
        <w:rPr>
          <w:noProof/>
        </w:rPr>
        <w:t>vplyv</w:t>
      </w:r>
      <w:bookmarkEnd w:id="32"/>
      <w:bookmarkEnd w:id="33"/>
      <w:bookmarkEnd w:id="34"/>
      <w:bookmarkEnd w:id="35"/>
      <w:bookmarkEnd w:id="36"/>
    </w:p>
    <w:p w14:paraId="21387579" w14:textId="77777777" w:rsidR="00CA2B31" w:rsidRPr="00F12C48" w:rsidRDefault="00CA2B31" w:rsidP="00CA2B31">
      <w:pPr>
        <w:pStyle w:val="Text1"/>
        <w:rPr>
          <w:noProof/>
        </w:rPr>
      </w:pPr>
      <w:r w:rsidRPr="00F12C48">
        <w:rPr>
          <w:i/>
          <w:noProof/>
          <w:sz w:val="20"/>
        </w:rPr>
        <w:t>Uveďte, aký vplyv by mal mať návrh/iniciatíva na prijímateľov/cieľové skupiny.</w:t>
      </w:r>
    </w:p>
    <w:p w14:paraId="01B6BC00" w14:textId="5E47AED0" w:rsidR="00F12C48" w:rsidRPr="004269D6" w:rsidRDefault="00CA2B31" w:rsidP="00CA2B31">
      <w:pPr>
        <w:pStyle w:val="Text1"/>
        <w:pBdr>
          <w:top w:val="single" w:sz="4" w:space="1" w:color="auto"/>
          <w:left w:val="single" w:sz="4" w:space="4" w:color="auto"/>
          <w:bottom w:val="single" w:sz="4" w:space="1" w:color="auto"/>
          <w:right w:val="single" w:sz="4" w:space="4" w:color="auto"/>
        </w:pBdr>
        <w:rPr>
          <w:noProof/>
          <w:spacing w:val="-4"/>
        </w:rPr>
      </w:pPr>
      <w:r w:rsidRPr="004269D6">
        <w:rPr>
          <w:noProof/>
          <w:spacing w:val="-4"/>
        </w:rPr>
        <w:t>Očakávanými výsledkami</w:t>
      </w:r>
      <w:r w:rsidR="00F12C48" w:rsidRPr="004269D6">
        <w:rPr>
          <w:noProof/>
          <w:spacing w:val="-4"/>
        </w:rPr>
        <w:t xml:space="preserve"> a </w:t>
      </w:r>
      <w:r w:rsidRPr="004269D6">
        <w:rPr>
          <w:noProof/>
          <w:spacing w:val="-4"/>
        </w:rPr>
        <w:t>vplyvom navrhovaných zmien je zjednodušenie požiadaviek na vykazovanie informácií</w:t>
      </w:r>
      <w:r w:rsidR="00F12C48" w:rsidRPr="004269D6">
        <w:rPr>
          <w:noProof/>
          <w:spacing w:val="-4"/>
        </w:rPr>
        <w:t xml:space="preserve"> o </w:t>
      </w:r>
      <w:r w:rsidRPr="004269D6">
        <w:rPr>
          <w:noProof/>
          <w:spacing w:val="-4"/>
        </w:rPr>
        <w:t>udržateľnosti</w:t>
      </w:r>
      <w:r w:rsidR="00F12C48" w:rsidRPr="004269D6">
        <w:rPr>
          <w:noProof/>
          <w:spacing w:val="-4"/>
        </w:rPr>
        <w:t xml:space="preserve"> a v </w:t>
      </w:r>
      <w:r w:rsidRPr="004269D6">
        <w:rPr>
          <w:noProof/>
          <w:spacing w:val="-4"/>
        </w:rPr>
        <w:t>dôsledku toho zníženie administratívneho zaťaženia spoločností</w:t>
      </w:r>
      <w:r w:rsidR="00F12C48" w:rsidRPr="004269D6">
        <w:rPr>
          <w:noProof/>
          <w:spacing w:val="-4"/>
        </w:rPr>
        <w:t xml:space="preserve"> v </w:t>
      </w:r>
      <w:r w:rsidRPr="004269D6">
        <w:rPr>
          <w:noProof/>
          <w:spacing w:val="-4"/>
        </w:rPr>
        <w:t>tejto súvislosti, pričom sa zachovajú ciele Európskej zelenej dohody</w:t>
      </w:r>
      <w:r w:rsidR="00F12C48" w:rsidRPr="004269D6">
        <w:rPr>
          <w:noProof/>
          <w:spacing w:val="-4"/>
        </w:rPr>
        <w:t xml:space="preserve"> a </w:t>
      </w:r>
      <w:r w:rsidRPr="004269D6">
        <w:rPr>
          <w:noProof/>
          <w:spacing w:val="-4"/>
        </w:rPr>
        <w:t>akčného plánu</w:t>
      </w:r>
      <w:r w:rsidR="00F12C48" w:rsidRPr="004269D6">
        <w:rPr>
          <w:noProof/>
          <w:spacing w:val="-4"/>
        </w:rPr>
        <w:t xml:space="preserve"> o </w:t>
      </w:r>
      <w:r w:rsidRPr="004269D6">
        <w:rPr>
          <w:noProof/>
          <w:spacing w:val="-4"/>
        </w:rPr>
        <w:t>udržateľnom financovaní. Očakáva sa, že navrhované zmeny povedú aj</w:t>
      </w:r>
      <w:r w:rsidR="00F12C48" w:rsidRPr="004269D6">
        <w:rPr>
          <w:noProof/>
          <w:spacing w:val="-4"/>
        </w:rPr>
        <w:t xml:space="preserve"> k </w:t>
      </w:r>
      <w:r w:rsidRPr="004269D6">
        <w:rPr>
          <w:noProof/>
          <w:spacing w:val="-4"/>
        </w:rPr>
        <w:t>značným úsporám nákladov pre spoločnosti patriace do rozsahu pôsobnosti pri vykonávaní vykazovania informácií</w:t>
      </w:r>
      <w:r w:rsidR="00F12C48" w:rsidRPr="004269D6">
        <w:rPr>
          <w:noProof/>
          <w:spacing w:val="-4"/>
        </w:rPr>
        <w:t xml:space="preserve"> o </w:t>
      </w:r>
      <w:r w:rsidRPr="004269D6">
        <w:rPr>
          <w:noProof/>
          <w:spacing w:val="-4"/>
        </w:rPr>
        <w:t>udržateľnosti</w:t>
      </w:r>
      <w:r w:rsidR="00F12C48" w:rsidRPr="004269D6">
        <w:rPr>
          <w:noProof/>
          <w:spacing w:val="-4"/>
        </w:rPr>
        <w:t>.</w:t>
      </w:r>
    </w:p>
    <w:p w14:paraId="1C8339DF" w14:textId="535E9792" w:rsidR="00CA2B31" w:rsidRPr="00F12C48" w:rsidRDefault="00DD4334" w:rsidP="00CA2B31">
      <w:pPr>
        <w:pStyle w:val="Text1"/>
        <w:pBdr>
          <w:top w:val="single" w:sz="4" w:space="1" w:color="auto"/>
          <w:left w:val="single" w:sz="4" w:space="4" w:color="auto"/>
          <w:bottom w:val="single" w:sz="4" w:space="1" w:color="auto"/>
          <w:right w:val="single" w:sz="4" w:space="4" w:color="auto"/>
        </w:pBdr>
        <w:rPr>
          <w:noProof/>
        </w:rPr>
      </w:pPr>
      <w:r w:rsidRPr="00F12C48">
        <w:rPr>
          <w:noProof/>
        </w:rPr>
        <w:t>Očakáva sa, že zmenami smernice (EÚ) 2024/1760 zahrnutými</w:t>
      </w:r>
      <w:r w:rsidR="00F12C48">
        <w:rPr>
          <w:noProof/>
        </w:rPr>
        <w:t xml:space="preserve"> v </w:t>
      </w:r>
      <w:r w:rsidRPr="00F12C48">
        <w:rPr>
          <w:noProof/>
        </w:rPr>
        <w:t>tomto návrhu sa zníži regulačné zaťaženie spoločností, keďže budú mať viac času na prípravu na dodržiavanie predpisov, prispôsobenie svojich politík, procesov</w:t>
      </w:r>
      <w:r w:rsidR="00F12C48">
        <w:rPr>
          <w:noProof/>
        </w:rPr>
        <w:t xml:space="preserve"> a </w:t>
      </w:r>
      <w:r w:rsidRPr="00F12C48">
        <w:rPr>
          <w:noProof/>
        </w:rPr>
        <w:t>postupov,</w:t>
      </w:r>
      <w:r w:rsidR="00F12C48">
        <w:rPr>
          <w:noProof/>
        </w:rPr>
        <w:t xml:space="preserve"> a </w:t>
      </w:r>
      <w:r w:rsidRPr="00F12C48">
        <w:rPr>
          <w:noProof/>
        </w:rPr>
        <w:t>to aj</w:t>
      </w:r>
      <w:r w:rsidR="00F12C48">
        <w:rPr>
          <w:noProof/>
        </w:rPr>
        <w:t xml:space="preserve"> s </w:t>
      </w:r>
      <w:r w:rsidRPr="00F12C48">
        <w:rPr>
          <w:noProof/>
        </w:rPr>
        <w:t xml:space="preserve">prihliadnutím na usmernenia, ktoré Komisia vydá, čo im umožní stavať na </w:t>
      </w:r>
      <w:r w:rsidRPr="00F12C48">
        <w:rPr>
          <w:noProof/>
        </w:rPr>
        <w:lastRenderedPageBreak/>
        <w:t>najlepších postupoch</w:t>
      </w:r>
      <w:r w:rsidR="00F12C48">
        <w:rPr>
          <w:noProof/>
        </w:rPr>
        <w:t xml:space="preserve"> a </w:t>
      </w:r>
      <w:r w:rsidRPr="00F12C48">
        <w:rPr>
          <w:noProof/>
        </w:rPr>
        <w:t>znížiť svoju závislosť od právneho poradenstva</w:t>
      </w:r>
      <w:r w:rsidR="00F12C48">
        <w:rPr>
          <w:noProof/>
        </w:rPr>
        <w:t xml:space="preserve"> a </w:t>
      </w:r>
      <w:r w:rsidRPr="00F12C48">
        <w:rPr>
          <w:noProof/>
        </w:rPr>
        <w:t>poradenských služieb.</w:t>
      </w:r>
    </w:p>
    <w:p w14:paraId="714FE192" w14:textId="77777777" w:rsidR="00CA2B31" w:rsidRPr="00F12C48" w:rsidRDefault="00CA2B31" w:rsidP="00CA2B31">
      <w:pPr>
        <w:pStyle w:val="ManualHeading3"/>
        <w:rPr>
          <w:noProof/>
        </w:rPr>
      </w:pPr>
      <w:bookmarkStart w:id="37" w:name="_Toc514938023"/>
      <w:bookmarkStart w:id="38" w:name="_Toc520485033"/>
      <w:bookmarkStart w:id="39" w:name="_Toc160804575"/>
      <w:bookmarkStart w:id="40" w:name="_Toc167220267"/>
      <w:bookmarkStart w:id="41" w:name="_Toc177548999"/>
      <w:r w:rsidRPr="00F12C48">
        <w:rPr>
          <w:noProof/>
        </w:rPr>
        <w:t>1.3.4.</w:t>
      </w:r>
      <w:r w:rsidRPr="00F12C48">
        <w:rPr>
          <w:noProof/>
        </w:rPr>
        <w:tab/>
        <w:t>Ukazovatele výkonnosti</w:t>
      </w:r>
      <w:bookmarkEnd w:id="37"/>
      <w:bookmarkEnd w:id="38"/>
      <w:bookmarkEnd w:id="39"/>
      <w:bookmarkEnd w:id="40"/>
      <w:bookmarkEnd w:id="41"/>
    </w:p>
    <w:p w14:paraId="208D9BC5" w14:textId="12A9100F" w:rsidR="00CA2B31" w:rsidRPr="00F12C48" w:rsidRDefault="00CA2B31" w:rsidP="00CA2B31">
      <w:pPr>
        <w:pStyle w:val="Text1"/>
        <w:rPr>
          <w:i/>
          <w:noProof/>
          <w:sz w:val="20"/>
        </w:rPr>
      </w:pPr>
      <w:r w:rsidRPr="00F12C48">
        <w:rPr>
          <w:i/>
          <w:noProof/>
          <w:sz w:val="20"/>
        </w:rPr>
        <w:t>Uveďte ukazovatele na monitorovanie pokroku</w:t>
      </w:r>
      <w:r w:rsidR="00F12C48">
        <w:rPr>
          <w:i/>
          <w:noProof/>
          <w:sz w:val="20"/>
        </w:rPr>
        <w:t xml:space="preserve"> a </w:t>
      </w:r>
      <w:r w:rsidRPr="00F12C48">
        <w:rPr>
          <w:i/>
          <w:noProof/>
          <w:sz w:val="20"/>
        </w:rPr>
        <w:t>dosiahnutých výsledkov.</w:t>
      </w:r>
    </w:p>
    <w:p w14:paraId="0D898263" w14:textId="4339A418" w:rsidR="00F12C48" w:rsidRDefault="00CA2B31" w:rsidP="00CA2B31">
      <w:pPr>
        <w:pStyle w:val="Text1"/>
        <w:pBdr>
          <w:top w:val="single" w:sz="4" w:space="1" w:color="auto"/>
          <w:left w:val="single" w:sz="4" w:space="4" w:color="auto"/>
          <w:bottom w:val="single" w:sz="4" w:space="1" w:color="auto"/>
          <w:right w:val="single" w:sz="4" w:space="4" w:color="auto"/>
        </w:pBdr>
        <w:rPr>
          <w:noProof/>
        </w:rPr>
      </w:pPr>
      <w:r w:rsidRPr="00F12C48">
        <w:rPr>
          <w:noProof/>
        </w:rPr>
        <w:t>Smernicu CSRD uplatnila prvá skupina spoločností, ktoré uverejňujú svoje prvé vyhlásenia</w:t>
      </w:r>
      <w:r w:rsidR="00F12C48">
        <w:rPr>
          <w:noProof/>
        </w:rPr>
        <w:t xml:space="preserve"> o </w:t>
      </w:r>
      <w:r w:rsidRPr="00F12C48">
        <w:rPr>
          <w:noProof/>
        </w:rPr>
        <w:t>udržateľnosti najmä</w:t>
      </w:r>
      <w:r w:rsidR="00F12C48">
        <w:rPr>
          <w:noProof/>
        </w:rPr>
        <w:t xml:space="preserve"> v </w:t>
      </w:r>
      <w:r w:rsidRPr="00F12C48">
        <w:rPr>
          <w:noProof/>
        </w:rPr>
        <w:t xml:space="preserve">prvom polroku 2025. Preto nebolo možné vykonať hodnotenie </w:t>
      </w:r>
      <w:r w:rsidRPr="00F12C48">
        <w:rPr>
          <w:i/>
          <w:noProof/>
        </w:rPr>
        <w:t>ex post</w:t>
      </w:r>
      <w:r w:rsidRPr="00F12C48">
        <w:rPr>
          <w:noProof/>
        </w:rPr>
        <w:t xml:space="preserve"> ani kontrolu vhodnosti žiadneho právneho predpisu</w:t>
      </w:r>
      <w:r w:rsidR="00F12C48">
        <w:rPr>
          <w:noProof/>
        </w:rPr>
        <w:t>.</w:t>
      </w:r>
    </w:p>
    <w:p w14:paraId="56D5DA05" w14:textId="0EC75365" w:rsidR="00F12C48" w:rsidRDefault="00CA2B31" w:rsidP="00CA2B31">
      <w:pPr>
        <w:pStyle w:val="Text1"/>
        <w:pBdr>
          <w:top w:val="single" w:sz="4" w:space="1" w:color="auto"/>
          <w:left w:val="single" w:sz="4" w:space="4" w:color="auto"/>
          <w:bottom w:val="single" w:sz="4" w:space="1" w:color="auto"/>
          <w:right w:val="single" w:sz="4" w:space="4" w:color="auto"/>
        </w:pBdr>
        <w:rPr>
          <w:noProof/>
        </w:rPr>
      </w:pPr>
      <w:r w:rsidRPr="00F12C48">
        <w:rPr>
          <w:noProof/>
        </w:rPr>
        <w:t>V snahe monitorovať pokrok pri dosahovaní špecifických cieľov návrhu Komisia preskúma možnosť zorganizovať výmeny so zainteresovanými stranami</w:t>
      </w:r>
      <w:r w:rsidR="00F12C48">
        <w:rPr>
          <w:noProof/>
        </w:rPr>
        <w:t xml:space="preserve"> v </w:t>
      </w:r>
      <w:r w:rsidRPr="00F12C48">
        <w:rPr>
          <w:noProof/>
        </w:rPr>
        <w:t>rôznych formátoch, ako aj pravidelné prieskumy medzi používateľmi informácií</w:t>
      </w:r>
      <w:r w:rsidR="00F12C48">
        <w:rPr>
          <w:noProof/>
        </w:rPr>
        <w:t xml:space="preserve"> o </w:t>
      </w:r>
      <w:r w:rsidRPr="00F12C48">
        <w:rPr>
          <w:noProof/>
        </w:rPr>
        <w:t>udržateľnosti</w:t>
      </w:r>
      <w:r w:rsidR="00F12C48">
        <w:rPr>
          <w:noProof/>
        </w:rPr>
        <w:t xml:space="preserve"> a </w:t>
      </w:r>
      <w:r w:rsidRPr="00F12C48">
        <w:rPr>
          <w:noProof/>
        </w:rPr>
        <w:t>podnikmi, ktoré takéto informácie vykazujú,</w:t>
      </w:r>
      <w:r w:rsidR="00F12C48">
        <w:rPr>
          <w:noProof/>
        </w:rPr>
        <w:t xml:space="preserve"> v </w:t>
      </w:r>
      <w:r w:rsidRPr="00F12C48">
        <w:rPr>
          <w:noProof/>
        </w:rPr>
        <w:t>závislosti od dostupnosti finančných zdrojov.</w:t>
      </w:r>
      <w:r w:rsidR="00F12C48">
        <w:rPr>
          <w:noProof/>
        </w:rPr>
        <w:t xml:space="preserve"> V </w:t>
      </w:r>
      <w:r w:rsidRPr="00F12C48">
        <w:rPr>
          <w:noProof/>
        </w:rPr>
        <w:t>článku 6 smernice CSRD sa vyžaduje, aby Komisia do apríla 2029 predložila správu</w:t>
      </w:r>
      <w:r w:rsidR="00F12C48">
        <w:rPr>
          <w:noProof/>
        </w:rPr>
        <w:t xml:space="preserve"> o </w:t>
      </w:r>
      <w:r w:rsidRPr="00F12C48">
        <w:rPr>
          <w:noProof/>
        </w:rPr>
        <w:t>vykonávaní smernice</w:t>
      </w:r>
      <w:r w:rsidR="00F12C48">
        <w:rPr>
          <w:noProof/>
        </w:rPr>
        <w:t>.</w:t>
      </w:r>
    </w:p>
    <w:p w14:paraId="6162400D" w14:textId="45BB2C4B" w:rsidR="00CA2B31" w:rsidRPr="00F12C48" w:rsidRDefault="00CA2B31" w:rsidP="00CA2B31">
      <w:pPr>
        <w:pStyle w:val="Text1"/>
        <w:pBdr>
          <w:top w:val="single" w:sz="4" w:space="1" w:color="auto"/>
          <w:left w:val="single" w:sz="4" w:space="4" w:color="auto"/>
          <w:bottom w:val="single" w:sz="4" w:space="1" w:color="auto"/>
          <w:right w:val="single" w:sz="4" w:space="4" w:color="auto"/>
        </w:pBdr>
        <w:rPr>
          <w:noProof/>
        </w:rPr>
      </w:pPr>
      <w:r w:rsidRPr="00F12C48">
        <w:rPr>
          <w:noProof/>
        </w:rPr>
        <w:t>V tomto návrhu sa Komisia takisto zaväzuje revidovať prvý súbor európskych štandardov vykazovania informácií</w:t>
      </w:r>
      <w:r w:rsidR="00F12C48">
        <w:rPr>
          <w:noProof/>
        </w:rPr>
        <w:t xml:space="preserve"> o </w:t>
      </w:r>
      <w:r w:rsidRPr="00F12C48">
        <w:rPr>
          <w:noProof/>
        </w:rPr>
        <w:t>udržateľnosti (ESRS). Na základe smernice 2013/34/EÚ je Komisia povinná uvedené štandardy vykazovania informácií</w:t>
      </w:r>
      <w:r w:rsidR="00F12C48">
        <w:rPr>
          <w:noProof/>
        </w:rPr>
        <w:t xml:space="preserve"> o </w:t>
      </w:r>
      <w:r w:rsidRPr="00F12C48">
        <w:rPr>
          <w:noProof/>
        </w:rPr>
        <w:t>udržateľnosti vrátane štandardov vykazovania informácií</w:t>
      </w:r>
      <w:r w:rsidR="00F12C48">
        <w:rPr>
          <w:noProof/>
        </w:rPr>
        <w:t xml:space="preserve"> o </w:t>
      </w:r>
      <w:r w:rsidRPr="00F12C48">
        <w:rPr>
          <w:noProof/>
        </w:rPr>
        <w:t>udržateľnosti pre malé</w:t>
      </w:r>
      <w:r w:rsidR="00F12C48">
        <w:rPr>
          <w:noProof/>
        </w:rPr>
        <w:t xml:space="preserve"> a </w:t>
      </w:r>
      <w:r w:rsidRPr="00F12C48">
        <w:rPr>
          <w:noProof/>
        </w:rPr>
        <w:t>stredne veľké podniky preskúmavať každé tri roky</w:t>
      </w:r>
      <w:r w:rsidR="00F12C48">
        <w:rPr>
          <w:noProof/>
        </w:rPr>
        <w:t xml:space="preserve"> s </w:t>
      </w:r>
      <w:r w:rsidRPr="00F12C48">
        <w:rPr>
          <w:noProof/>
        </w:rPr>
        <w:t>cieľom zohľadňovať príslušný vývoj vrátane vývoja medzinárodných štandardov.</w:t>
      </w:r>
    </w:p>
    <w:p w14:paraId="2A5335F2" w14:textId="499AC571" w:rsidR="00F12C48" w:rsidRDefault="00CA2B31" w:rsidP="00381DB2">
      <w:pPr>
        <w:pStyle w:val="Text1"/>
        <w:pBdr>
          <w:top w:val="single" w:sz="4" w:space="1" w:color="auto"/>
          <w:left w:val="single" w:sz="4" w:space="4" w:color="auto"/>
          <w:bottom w:val="single" w:sz="4" w:space="1" w:color="auto"/>
          <w:right w:val="single" w:sz="4" w:space="4" w:color="auto"/>
        </w:pBdr>
        <w:rPr>
          <w:noProof/>
        </w:rPr>
      </w:pPr>
      <w:r w:rsidRPr="00F12C48">
        <w:rPr>
          <w:noProof/>
        </w:rPr>
        <w:t>Predmetom pravidelného hodnotenia podľa článku 36 smernice CSDDD bude aj vykonávanie tejto smernice,</w:t>
      </w:r>
      <w:r w:rsidR="00F12C48">
        <w:rPr>
          <w:noProof/>
        </w:rPr>
        <w:t xml:space="preserve"> v </w:t>
      </w:r>
      <w:r w:rsidRPr="00F12C48">
        <w:rPr>
          <w:noProof/>
        </w:rPr>
        <w:t>znení zmien,</w:t>
      </w:r>
      <w:r w:rsidR="00F12C48">
        <w:rPr>
          <w:noProof/>
        </w:rPr>
        <w:t xml:space="preserve"> a </w:t>
      </w:r>
      <w:r w:rsidRPr="00F12C48">
        <w:rPr>
          <w:noProof/>
        </w:rPr>
        <w:t>jej účinnosť pri dosahovaní stanovených cieľov – najmä pri riešení nepriaznivých vplyvov</w:t>
      </w:r>
      <w:r w:rsidR="00F12C48">
        <w:rPr>
          <w:noProof/>
        </w:rPr>
        <w:t>.</w:t>
      </w:r>
    </w:p>
    <w:p w14:paraId="6170F603" w14:textId="66B16C75" w:rsidR="00CA2B31" w:rsidRPr="00F12C48" w:rsidRDefault="00CA2B31" w:rsidP="00CA2B31">
      <w:pPr>
        <w:pStyle w:val="Text1"/>
        <w:pBdr>
          <w:top w:val="single" w:sz="4" w:space="1" w:color="auto"/>
          <w:left w:val="single" w:sz="4" w:space="4" w:color="auto"/>
          <w:bottom w:val="single" w:sz="4" w:space="1" w:color="auto"/>
          <w:right w:val="single" w:sz="4" w:space="4" w:color="auto"/>
        </w:pBdr>
        <w:rPr>
          <w:noProof/>
        </w:rPr>
      </w:pPr>
      <w:r w:rsidRPr="00F12C48">
        <w:rPr>
          <w:noProof/>
        </w:rPr>
        <w:t>Na monitorovanie pokroku</w:t>
      </w:r>
      <w:r w:rsidR="00F12C48">
        <w:rPr>
          <w:noProof/>
        </w:rPr>
        <w:t xml:space="preserve"> v </w:t>
      </w:r>
      <w:r w:rsidRPr="00F12C48">
        <w:rPr>
          <w:noProof/>
        </w:rPr>
        <w:t>súvislosti</w:t>
      </w:r>
      <w:r w:rsidR="00F12C48">
        <w:rPr>
          <w:noProof/>
        </w:rPr>
        <w:t xml:space="preserve"> s </w:t>
      </w:r>
      <w:r w:rsidRPr="00F12C48">
        <w:rPr>
          <w:noProof/>
        </w:rPr>
        <w:t>týmito návrhmi sa použije niekoľko ukazovateľov, ako je účinnosť</w:t>
      </w:r>
      <w:r w:rsidR="00F12C48">
        <w:rPr>
          <w:noProof/>
        </w:rPr>
        <w:t xml:space="preserve"> a </w:t>
      </w:r>
      <w:r w:rsidRPr="00F12C48">
        <w:rPr>
          <w:noProof/>
        </w:rPr>
        <w:t>včasnosť navrhovaných opatrení, efektívnosť postupov zberu</w:t>
      </w:r>
      <w:r w:rsidR="00F12C48">
        <w:rPr>
          <w:noProof/>
        </w:rPr>
        <w:t xml:space="preserve"> a </w:t>
      </w:r>
      <w:r w:rsidRPr="00F12C48">
        <w:rPr>
          <w:noProof/>
        </w:rPr>
        <w:t>spracúvania údajov</w:t>
      </w:r>
      <w:r w:rsidR="00F12C48">
        <w:rPr>
          <w:noProof/>
        </w:rPr>
        <w:t xml:space="preserve"> v </w:t>
      </w:r>
      <w:r w:rsidRPr="00F12C48">
        <w:rPr>
          <w:noProof/>
        </w:rPr>
        <w:t>súlade</w:t>
      </w:r>
      <w:r w:rsidR="00F12C48">
        <w:rPr>
          <w:noProof/>
        </w:rPr>
        <w:t xml:space="preserve"> s </w:t>
      </w:r>
      <w:r w:rsidRPr="00F12C48">
        <w:rPr>
          <w:noProof/>
        </w:rPr>
        <w:t>požiadavkami na vykazovanie informácií</w:t>
      </w:r>
      <w:r w:rsidR="00F12C48">
        <w:rPr>
          <w:noProof/>
        </w:rPr>
        <w:t xml:space="preserve"> o </w:t>
      </w:r>
      <w:r w:rsidRPr="00F12C48">
        <w:rPr>
          <w:noProof/>
        </w:rPr>
        <w:t>udržateľnosti</w:t>
      </w:r>
      <w:r w:rsidR="00F12C48">
        <w:rPr>
          <w:noProof/>
        </w:rPr>
        <w:t xml:space="preserve"> a </w:t>
      </w:r>
      <w:r w:rsidRPr="00F12C48">
        <w:rPr>
          <w:noProof/>
        </w:rPr>
        <w:t>cieľ obmedziť administratívnu záťaž</w:t>
      </w:r>
      <w:r w:rsidR="00F12C48">
        <w:rPr>
          <w:noProof/>
        </w:rPr>
        <w:t xml:space="preserve"> a </w:t>
      </w:r>
      <w:r w:rsidRPr="00F12C48">
        <w:rPr>
          <w:noProof/>
        </w:rPr>
        <w:t>vyhnúť sa zbytočným alebo duplicitným požiadavkám na vykazovanie.</w:t>
      </w:r>
    </w:p>
    <w:p w14:paraId="3780C5A9" w14:textId="77777777" w:rsidR="00F12C48" w:rsidRDefault="00CA2B31" w:rsidP="00CA2B31">
      <w:pPr>
        <w:pStyle w:val="ManualHeading2"/>
        <w:rPr>
          <w:noProof/>
        </w:rPr>
      </w:pPr>
      <w:bookmarkStart w:id="42" w:name="_Toc177549000"/>
      <w:r w:rsidRPr="00F12C48">
        <w:rPr>
          <w:noProof/>
        </w:rPr>
        <w:t>1,4.</w:t>
      </w:r>
      <w:r w:rsidRPr="00F12C48">
        <w:rPr>
          <w:noProof/>
        </w:rPr>
        <w:tab/>
        <w:t>Návrh/iniciatíva sa týka</w:t>
      </w:r>
      <w:bookmarkEnd w:id="42"/>
    </w:p>
    <w:p w14:paraId="436D12A0" w14:textId="77777777" w:rsidR="00F12C48" w:rsidRDefault="00CA2B31" w:rsidP="00CA2B31">
      <w:pPr>
        <w:pStyle w:val="Text1"/>
        <w:rPr>
          <w:noProof/>
          <w:sz w:val="22"/>
        </w:rPr>
      </w:pPr>
      <w:r w:rsidRPr="00F12C48">
        <w:rPr>
          <w:rFonts w:ascii="Wingdings" w:hAnsi="Wingdings"/>
          <w:noProof/>
          <w:sz w:val="22"/>
        </w:rPr>
        <w:t></w:t>
      </w:r>
      <w:r w:rsidRPr="00F12C48">
        <w:rPr>
          <w:i/>
          <w:noProof/>
          <w:sz w:val="22"/>
        </w:rPr>
        <w:t xml:space="preserve"> </w:t>
      </w:r>
      <w:r w:rsidRPr="00F12C48">
        <w:rPr>
          <w:noProof/>
        </w:rPr>
        <w:t>novej akcie</w:t>
      </w:r>
    </w:p>
    <w:p w14:paraId="51A9B73B" w14:textId="77777777" w:rsidR="00F12C48" w:rsidRDefault="00CA2B31" w:rsidP="00CA2B31">
      <w:pPr>
        <w:pStyle w:val="Text1"/>
        <w:rPr>
          <w:noProof/>
          <w:sz w:val="22"/>
        </w:rPr>
      </w:pPr>
      <w:r w:rsidRPr="00F12C48">
        <w:rPr>
          <w:rFonts w:ascii="Wingdings" w:hAnsi="Wingdings"/>
          <w:noProof/>
          <w:sz w:val="22"/>
        </w:rPr>
        <w:t></w:t>
      </w:r>
      <w:r w:rsidRPr="00F12C48">
        <w:rPr>
          <w:i/>
          <w:noProof/>
          <w:sz w:val="22"/>
        </w:rPr>
        <w:t xml:space="preserve"> </w:t>
      </w:r>
      <w:r w:rsidRPr="00F12C48">
        <w:rPr>
          <w:noProof/>
        </w:rPr>
        <w:t>novej akcie, ktorá nadväzuje na pilotný projekt/prípravnú akciu</w:t>
      </w:r>
      <w:r w:rsidRPr="00F12C48">
        <w:rPr>
          <w:rStyle w:val="Odkaznapoznmkupodiarou"/>
          <w:noProof/>
        </w:rPr>
        <w:footnoteReference w:id="27"/>
      </w:r>
    </w:p>
    <w:p w14:paraId="2120E27F" w14:textId="77777777" w:rsidR="00F12C48" w:rsidRDefault="00CA2B31" w:rsidP="00CA2B31">
      <w:pPr>
        <w:pStyle w:val="Text1"/>
        <w:rPr>
          <w:noProof/>
          <w:sz w:val="22"/>
        </w:rPr>
      </w:pPr>
      <w:r w:rsidRPr="00F12C48">
        <w:rPr>
          <w:rFonts w:ascii="Wingdings" w:hAnsi="Wingdings"/>
          <w:noProof/>
          <w:sz w:val="22"/>
        </w:rPr>
        <w:t></w:t>
      </w:r>
      <w:r w:rsidRPr="00F12C48">
        <w:rPr>
          <w:i/>
          <w:noProof/>
          <w:sz w:val="22"/>
        </w:rPr>
        <w:t xml:space="preserve"> </w:t>
      </w:r>
      <w:r w:rsidRPr="00F12C48">
        <w:rPr>
          <w:noProof/>
        </w:rPr>
        <w:t>predĺženia trvania existujúcej akcie</w:t>
      </w:r>
    </w:p>
    <w:p w14:paraId="0D98C224" w14:textId="76E743CC" w:rsidR="00CA2B31" w:rsidRPr="00F12C48" w:rsidRDefault="00161789" w:rsidP="00CA2B31">
      <w:pPr>
        <w:pStyle w:val="Text1"/>
        <w:rPr>
          <w:noProof/>
        </w:rPr>
      </w:pPr>
      <w:r w:rsidRPr="00F12C48">
        <w:rPr>
          <w:rFonts w:ascii="Wingdings" w:hAnsi="Wingdings"/>
          <w:noProof/>
          <w:sz w:val="22"/>
        </w:rPr>
        <w:t></w:t>
      </w:r>
      <w:r w:rsidRPr="00F12C48">
        <w:rPr>
          <w:i/>
          <w:noProof/>
          <w:sz w:val="22"/>
        </w:rPr>
        <w:t xml:space="preserve"> </w:t>
      </w:r>
      <w:r w:rsidRPr="00F12C48">
        <w:rPr>
          <w:noProof/>
        </w:rPr>
        <w:t>zlúčenia jednej alebo viacerých akcií do ďalšej/novej akcie alebo presmerovania jednej alebo viacerých akcií na ďalšiu/novú akciu</w:t>
      </w:r>
    </w:p>
    <w:p w14:paraId="149428A4" w14:textId="77777777" w:rsidR="00F12C48" w:rsidRDefault="00CA2B31" w:rsidP="00CA2B31">
      <w:pPr>
        <w:pStyle w:val="ManualHeading2"/>
        <w:rPr>
          <w:noProof/>
        </w:rPr>
      </w:pPr>
      <w:bookmarkStart w:id="43" w:name="_Toc514938025"/>
      <w:bookmarkStart w:id="44" w:name="_Toc520485034"/>
      <w:bookmarkStart w:id="45" w:name="_Toc160804576"/>
      <w:bookmarkStart w:id="46" w:name="_Toc167220268"/>
      <w:bookmarkStart w:id="47" w:name="_Toc177549001"/>
      <w:r w:rsidRPr="00F12C48">
        <w:rPr>
          <w:noProof/>
        </w:rPr>
        <w:t>1.5.</w:t>
      </w:r>
      <w:r w:rsidRPr="00F12C48">
        <w:rPr>
          <w:noProof/>
        </w:rPr>
        <w:tab/>
        <w:t>Dôvody návrhu/iniciatívy</w:t>
      </w:r>
      <w:bookmarkEnd w:id="43"/>
      <w:bookmarkEnd w:id="44"/>
      <w:bookmarkEnd w:id="45"/>
      <w:bookmarkEnd w:id="46"/>
      <w:bookmarkEnd w:id="47"/>
    </w:p>
    <w:p w14:paraId="54240F99" w14:textId="059DDF82" w:rsidR="00CA2B31" w:rsidRPr="00F12C48" w:rsidRDefault="00CA2B31" w:rsidP="00CA2B31">
      <w:pPr>
        <w:pStyle w:val="ManualHeading3"/>
        <w:rPr>
          <w:noProof/>
        </w:rPr>
      </w:pPr>
      <w:bookmarkStart w:id="48" w:name="_Toc514938026"/>
      <w:bookmarkStart w:id="49" w:name="_Toc520485035"/>
      <w:bookmarkStart w:id="50" w:name="_Toc160804577"/>
      <w:bookmarkStart w:id="51" w:name="_Toc167220269"/>
      <w:bookmarkStart w:id="52" w:name="_Toc177549002"/>
      <w:r w:rsidRPr="00F12C48">
        <w:rPr>
          <w:noProof/>
        </w:rPr>
        <w:t>1.5.1.</w:t>
      </w:r>
      <w:r w:rsidRPr="00F12C48">
        <w:rPr>
          <w:noProof/>
        </w:rPr>
        <w:tab/>
        <w:t>Požiadavky, ktoré sa majú splniť</w:t>
      </w:r>
      <w:r w:rsidR="00F12C48">
        <w:rPr>
          <w:noProof/>
        </w:rPr>
        <w:t xml:space="preserve"> v </w:t>
      </w:r>
      <w:r w:rsidRPr="00F12C48">
        <w:rPr>
          <w:noProof/>
        </w:rPr>
        <w:t>krátkodobom alebo dlhodobom horizonte vrátane podrobného harmonogramu prvotnej fázy vykonávania iniciatívy</w:t>
      </w:r>
      <w:bookmarkEnd w:id="48"/>
      <w:bookmarkEnd w:id="49"/>
      <w:bookmarkEnd w:id="50"/>
      <w:bookmarkEnd w:id="51"/>
      <w:bookmarkEnd w:id="52"/>
    </w:p>
    <w:p w14:paraId="067753C0" w14:textId="79663EFB" w:rsidR="00CA2B31" w:rsidRPr="00F12C48" w:rsidRDefault="00CA2B31" w:rsidP="00CA2B31">
      <w:pPr>
        <w:pStyle w:val="Text1"/>
        <w:pBdr>
          <w:top w:val="single" w:sz="4" w:space="1" w:color="auto"/>
          <w:left w:val="single" w:sz="4" w:space="4" w:color="auto"/>
          <w:bottom w:val="single" w:sz="4" w:space="1" w:color="auto"/>
          <w:right w:val="single" w:sz="4" w:space="4" w:color="auto"/>
        </w:pBdr>
        <w:rPr>
          <w:noProof/>
        </w:rPr>
      </w:pPr>
      <w:r w:rsidRPr="00F12C48">
        <w:rPr>
          <w:noProof/>
        </w:rPr>
        <w:t>Komisia týmto návrhom navrhuje smernicu, ktorou sa menia smernice (EÚ) 2022/2464</w:t>
      </w:r>
      <w:r w:rsidR="00F12C48">
        <w:rPr>
          <w:noProof/>
        </w:rPr>
        <w:t xml:space="preserve"> a </w:t>
      </w:r>
      <w:r w:rsidRPr="00F12C48">
        <w:rPr>
          <w:noProof/>
        </w:rPr>
        <w:t>(EÚ) 2024/1760. Keď spoluzákonodarcovia dosiahnu dohodu</w:t>
      </w:r>
      <w:r w:rsidR="00F12C48">
        <w:rPr>
          <w:noProof/>
        </w:rPr>
        <w:t xml:space="preserve"> o </w:t>
      </w:r>
      <w:r w:rsidRPr="00F12C48">
        <w:rPr>
          <w:noProof/>
        </w:rPr>
        <w:t>obsahu návrhu, členské štáty budú mať určitý čas na transpozíciu zmien zavedených touto smernicou, pokiaľ ide</w:t>
      </w:r>
      <w:r w:rsidR="00F12C48">
        <w:rPr>
          <w:noProof/>
        </w:rPr>
        <w:t xml:space="preserve"> o </w:t>
      </w:r>
      <w:r w:rsidRPr="00F12C48">
        <w:rPr>
          <w:noProof/>
        </w:rPr>
        <w:t xml:space="preserve">odloženie dátumu, od ktorého musia určité skupiny spoločností uplatňovať tieto smernice vo svojom vnútroštátnom práve. Podľa tohto </w:t>
      </w:r>
      <w:r w:rsidRPr="00F12C48">
        <w:rPr>
          <w:noProof/>
        </w:rPr>
        <w:lastRenderedPageBreak/>
        <w:t>návrhu je táto lehota na transpozíciu stanovená na 31</w:t>
      </w:r>
      <w:r w:rsidR="00F12C48">
        <w:rPr>
          <w:noProof/>
        </w:rPr>
        <w:t>. decembra</w:t>
      </w:r>
      <w:r w:rsidRPr="00F12C48">
        <w:rPr>
          <w:noProof/>
        </w:rPr>
        <w:t xml:space="preserve"> 2025. Jeho cieľom je aj odložiť lehotu na transpozíciu smernice (EÚ) 2024/1760</w:t>
      </w:r>
      <w:r w:rsidR="00F12C48">
        <w:rPr>
          <w:noProof/>
        </w:rPr>
        <w:t xml:space="preserve"> o </w:t>
      </w:r>
      <w:r w:rsidRPr="00F12C48">
        <w:rPr>
          <w:noProof/>
        </w:rPr>
        <w:t>jeden rok.</w:t>
      </w:r>
      <w:r w:rsidR="00F12C48">
        <w:rPr>
          <w:noProof/>
        </w:rPr>
        <w:t xml:space="preserve"> V </w:t>
      </w:r>
      <w:r w:rsidRPr="00F12C48">
        <w:rPr>
          <w:noProof/>
        </w:rPr>
        <w:t>dôsledku toho by sa od členských štátov vyžadovalo, aby smernicu CSDDD transponovali najneskôr do 26</w:t>
      </w:r>
      <w:r w:rsidR="00F12C48">
        <w:rPr>
          <w:noProof/>
        </w:rPr>
        <w:t>. júla</w:t>
      </w:r>
      <w:r w:rsidRPr="00F12C48">
        <w:rPr>
          <w:noProof/>
        </w:rPr>
        <w:t xml:space="preserve"> 2027.</w:t>
      </w:r>
    </w:p>
    <w:p w14:paraId="7824420B" w14:textId="1DE6CC19" w:rsidR="00F12C48" w:rsidRDefault="00CA2B31" w:rsidP="00A71B9A">
      <w:pPr>
        <w:pStyle w:val="Text1"/>
        <w:pBdr>
          <w:top w:val="single" w:sz="4" w:space="1" w:color="auto"/>
          <w:left w:val="single" w:sz="4" w:space="4" w:color="auto"/>
          <w:bottom w:val="single" w:sz="4" w:space="1" w:color="auto"/>
          <w:right w:val="single" w:sz="4" w:space="4" w:color="auto"/>
        </w:pBdr>
        <w:rPr>
          <w:noProof/>
        </w:rPr>
      </w:pPr>
      <w:r w:rsidRPr="00F12C48">
        <w:rPr>
          <w:noProof/>
        </w:rPr>
        <w:t>Komisia</w:t>
      </w:r>
      <w:r w:rsidR="00F12C48">
        <w:rPr>
          <w:noProof/>
        </w:rPr>
        <w:t xml:space="preserve"> v </w:t>
      </w:r>
      <w:r w:rsidRPr="00F12C48">
        <w:rPr>
          <w:noProof/>
        </w:rPr>
        <w:t>samostatnom legislatívnom návrhu navrhuje zmeniť niekoľko ustanovení smerníc 2006/43/ES, 2013/34/EÚ, (EÚ) 2022/2464</w:t>
      </w:r>
      <w:r w:rsidR="00F12C48">
        <w:rPr>
          <w:noProof/>
        </w:rPr>
        <w:t xml:space="preserve"> a </w:t>
      </w:r>
      <w:r w:rsidRPr="00F12C48">
        <w:rPr>
          <w:noProof/>
        </w:rPr>
        <w:t>(EÚ) 2024/1760. Komisia takisto navrhuje revíziu delegovaného nariadenia Komisie (EÚ) 2023/2772 (európske štandardy vykazovania informácií</w:t>
      </w:r>
      <w:r w:rsidR="00F12C48">
        <w:rPr>
          <w:noProof/>
        </w:rPr>
        <w:t xml:space="preserve"> o </w:t>
      </w:r>
      <w:r w:rsidRPr="00F12C48">
        <w:rPr>
          <w:noProof/>
        </w:rPr>
        <w:t>udržateľnosti). Komisia prijme revidovaný delegovaný akt</w:t>
      </w:r>
      <w:r w:rsidR="00F12C48">
        <w:rPr>
          <w:noProof/>
        </w:rPr>
        <w:t xml:space="preserve"> o </w:t>
      </w:r>
      <w:r w:rsidRPr="00F12C48">
        <w:rPr>
          <w:noProof/>
        </w:rPr>
        <w:t>ESRS včas, aby podniky</w:t>
      </w:r>
      <w:r w:rsidR="00F12C48">
        <w:rPr>
          <w:noProof/>
        </w:rPr>
        <w:t xml:space="preserve"> v </w:t>
      </w:r>
      <w:r w:rsidRPr="00F12C48">
        <w:rPr>
          <w:noProof/>
        </w:rPr>
        <w:t>druhej vlne, od ktorých by sa vyžadovalo, aby začali vykazovať informácie podľa smernice CSRD</w:t>
      </w:r>
      <w:r w:rsidR="00F12C48">
        <w:rPr>
          <w:noProof/>
        </w:rPr>
        <w:t xml:space="preserve"> v </w:t>
      </w:r>
      <w:r w:rsidRPr="00F12C48">
        <w:rPr>
          <w:noProof/>
        </w:rPr>
        <w:t>roku 2028 za účtovný rok 2027, mohli uplatňovať revidované štandardy</w:t>
      </w:r>
      <w:r w:rsidR="00F12C48">
        <w:rPr>
          <w:noProof/>
        </w:rPr>
        <w:t>.</w:t>
      </w:r>
    </w:p>
    <w:p w14:paraId="3B1EF6B7" w14:textId="25A1752C" w:rsidR="00CA2B31" w:rsidRPr="00F12C48" w:rsidRDefault="00CA2B31" w:rsidP="00CA2B31">
      <w:pPr>
        <w:pStyle w:val="Text1"/>
        <w:pBdr>
          <w:top w:val="single" w:sz="4" w:space="1" w:color="auto"/>
          <w:left w:val="single" w:sz="4" w:space="4" w:color="auto"/>
          <w:bottom w:val="single" w:sz="4" w:space="1" w:color="auto"/>
          <w:right w:val="single" w:sz="4" w:space="4" w:color="auto"/>
        </w:pBdr>
        <w:rPr>
          <w:noProof/>
        </w:rPr>
      </w:pPr>
      <w:r w:rsidRPr="00F12C48">
        <w:rPr>
          <w:noProof/>
        </w:rPr>
        <w:t>V snahe monitorovať pokrok pri dosahovaní špecifických cieľov návrhu Komisia preskúma možnosť zorganizovať výmeny so zainteresovanými stranami</w:t>
      </w:r>
      <w:r w:rsidR="00F12C48">
        <w:rPr>
          <w:noProof/>
        </w:rPr>
        <w:t xml:space="preserve"> v </w:t>
      </w:r>
      <w:r w:rsidRPr="00F12C48">
        <w:rPr>
          <w:noProof/>
        </w:rPr>
        <w:t>rôznych formátoch, ako aj pravidelné prieskumy medzi používateľmi informácií</w:t>
      </w:r>
      <w:r w:rsidR="00F12C48">
        <w:rPr>
          <w:noProof/>
        </w:rPr>
        <w:t xml:space="preserve"> o </w:t>
      </w:r>
      <w:r w:rsidRPr="00F12C48">
        <w:rPr>
          <w:noProof/>
        </w:rPr>
        <w:t>udržateľnosti</w:t>
      </w:r>
      <w:r w:rsidR="00F12C48">
        <w:rPr>
          <w:noProof/>
        </w:rPr>
        <w:t xml:space="preserve"> a </w:t>
      </w:r>
      <w:r w:rsidRPr="00F12C48">
        <w:rPr>
          <w:noProof/>
        </w:rPr>
        <w:t>podnikmi, ktoré takéto informácie vykazujú,</w:t>
      </w:r>
      <w:r w:rsidR="00F12C48">
        <w:rPr>
          <w:noProof/>
        </w:rPr>
        <w:t xml:space="preserve"> v </w:t>
      </w:r>
      <w:r w:rsidRPr="00F12C48">
        <w:rPr>
          <w:noProof/>
        </w:rPr>
        <w:t>závislosti od dostupnosti finančných zdrojov.</w:t>
      </w:r>
      <w:r w:rsidR="00F12C48">
        <w:rPr>
          <w:noProof/>
        </w:rPr>
        <w:t xml:space="preserve"> V </w:t>
      </w:r>
      <w:r w:rsidRPr="00F12C48">
        <w:rPr>
          <w:noProof/>
        </w:rPr>
        <w:t>článku 6 smernice CSRD sa vyžaduje, aby Komisia do apríla 2029 predložila správu</w:t>
      </w:r>
      <w:r w:rsidR="00F12C48">
        <w:rPr>
          <w:noProof/>
        </w:rPr>
        <w:t xml:space="preserve"> o </w:t>
      </w:r>
      <w:r w:rsidRPr="00F12C48">
        <w:rPr>
          <w:noProof/>
        </w:rPr>
        <w:t>jej vykonávaní. Predmetom pravidelného hodnotenia podľa článku 36 smernice CSDDD bude aj vykonávanie tejto smernice,</w:t>
      </w:r>
      <w:r w:rsidR="00F12C48">
        <w:rPr>
          <w:noProof/>
        </w:rPr>
        <w:t xml:space="preserve"> v </w:t>
      </w:r>
      <w:r w:rsidRPr="00F12C48">
        <w:rPr>
          <w:noProof/>
        </w:rPr>
        <w:t>znení zmien,</w:t>
      </w:r>
      <w:r w:rsidR="00F12C48">
        <w:rPr>
          <w:noProof/>
        </w:rPr>
        <w:t xml:space="preserve"> a </w:t>
      </w:r>
      <w:r w:rsidRPr="00F12C48">
        <w:rPr>
          <w:noProof/>
        </w:rPr>
        <w:t>jej účinnosť pri dosahovaní stanovených cieľov – najmä pri riešení nepriaznivých vplyvov. Tento návrh si nevyžaduje plán vykonávania.</w:t>
      </w:r>
    </w:p>
    <w:p w14:paraId="2DEBA43F" w14:textId="77777777" w:rsidR="00CA2B31" w:rsidRPr="00F12C48" w:rsidRDefault="00CA2B31" w:rsidP="00CA2B31">
      <w:pPr>
        <w:pStyle w:val="ManualHeading3"/>
        <w:rPr>
          <w:bCs/>
          <w:noProof/>
          <w:szCs w:val="24"/>
        </w:rPr>
      </w:pPr>
      <w:bookmarkStart w:id="53" w:name="_Toc514938029"/>
      <w:bookmarkStart w:id="54" w:name="_Toc520485036"/>
      <w:bookmarkStart w:id="55" w:name="_Toc160804578"/>
      <w:bookmarkStart w:id="56" w:name="_Toc167220270"/>
      <w:bookmarkStart w:id="57" w:name="_Toc177549003"/>
      <w:r w:rsidRPr="00F12C48">
        <w:rPr>
          <w:noProof/>
        </w:rPr>
        <w:t>1.5.2.</w:t>
      </w:r>
      <w:r w:rsidRPr="00F12C48">
        <w:rPr>
          <w:noProof/>
        </w:rPr>
        <w:tab/>
      </w:r>
      <w:r w:rsidRPr="004269D6">
        <w:rPr>
          <w:noProof/>
          <w:spacing w:val="-4"/>
        </w:rPr>
        <w:t>Prínos zapojenia Európskej únie (môže byť výsledkom rôznych faktorov, napr. lepšej koordinácie, právnej istoty, väčšej účinnosti alebo komplementárnosti). Na účely tohto bodu je „prínos zapojenia Európskej únie“ hodnota vyplývajúca zo zásahu Európskej únie, ktorá dopĺňa hodnotu, ktorú by inak vytvorili len samotné členské štáty.</w:t>
      </w:r>
      <w:bookmarkEnd w:id="53"/>
      <w:bookmarkEnd w:id="54"/>
      <w:bookmarkEnd w:id="55"/>
      <w:bookmarkEnd w:id="56"/>
      <w:bookmarkEnd w:id="57"/>
    </w:p>
    <w:p w14:paraId="2F06907B" w14:textId="3F09D78A" w:rsidR="00F12C48" w:rsidRDefault="00CA2B31" w:rsidP="00CA2B31">
      <w:pPr>
        <w:pStyle w:val="Text1"/>
        <w:pBdr>
          <w:top w:val="single" w:sz="4" w:space="1" w:color="auto"/>
          <w:left w:val="single" w:sz="4" w:space="4" w:color="auto"/>
          <w:bottom w:val="single" w:sz="4" w:space="1" w:color="auto"/>
          <w:right w:val="single" w:sz="4" w:space="4" w:color="auto"/>
        </w:pBdr>
        <w:rPr>
          <w:noProof/>
        </w:rPr>
      </w:pPr>
      <w:r w:rsidRPr="00F12C48">
        <w:rPr>
          <w:noProof/>
        </w:rPr>
        <w:t>Zverejňovanie informácií</w:t>
      </w:r>
      <w:r w:rsidR="00F12C48">
        <w:rPr>
          <w:noProof/>
        </w:rPr>
        <w:t xml:space="preserve"> o </w:t>
      </w:r>
      <w:r w:rsidRPr="00F12C48">
        <w:rPr>
          <w:noProof/>
        </w:rPr>
        <w:t>udržateľnosti</w:t>
      </w:r>
      <w:r w:rsidR="00F12C48">
        <w:rPr>
          <w:noProof/>
        </w:rPr>
        <w:t xml:space="preserve"> v </w:t>
      </w:r>
      <w:r w:rsidRPr="00F12C48">
        <w:rPr>
          <w:noProof/>
        </w:rPr>
        <w:t>EÚ je už upravené</w:t>
      </w:r>
      <w:r w:rsidR="00F12C48">
        <w:rPr>
          <w:noProof/>
        </w:rPr>
        <w:t xml:space="preserve"> v </w:t>
      </w:r>
      <w:r w:rsidRPr="00F12C48">
        <w:rPr>
          <w:noProof/>
        </w:rPr>
        <w:t>smernici</w:t>
      </w:r>
      <w:r w:rsidR="00F12C48">
        <w:rPr>
          <w:noProof/>
        </w:rPr>
        <w:t xml:space="preserve"> o </w:t>
      </w:r>
      <w:r w:rsidRPr="00F12C48">
        <w:rPr>
          <w:noProof/>
        </w:rPr>
        <w:t>účtovníctve, ktorá bola zmenená smernicou CSRD. Spoločnými pravidlami vykazovania informácií</w:t>
      </w:r>
      <w:r w:rsidR="00F12C48">
        <w:rPr>
          <w:noProof/>
        </w:rPr>
        <w:t xml:space="preserve"> o </w:t>
      </w:r>
      <w:r w:rsidRPr="00F12C48">
        <w:rPr>
          <w:noProof/>
        </w:rPr>
        <w:t>udržateľnosti</w:t>
      </w:r>
      <w:r w:rsidR="00F12C48">
        <w:rPr>
          <w:noProof/>
        </w:rPr>
        <w:t xml:space="preserve"> a </w:t>
      </w:r>
      <w:r w:rsidRPr="00F12C48">
        <w:rPr>
          <w:noProof/>
        </w:rPr>
        <w:t>ich uistenia sa zabezpečujú rovnaké podmienky pre spoločnosti usadené</w:t>
      </w:r>
      <w:r w:rsidR="00F12C48">
        <w:rPr>
          <w:noProof/>
        </w:rPr>
        <w:t xml:space="preserve"> v </w:t>
      </w:r>
      <w:r w:rsidRPr="00F12C48">
        <w:rPr>
          <w:noProof/>
        </w:rPr>
        <w:t>rôznych členských štátoch. Spoločnostiam, ktoré pôsobia na cezhraničnom základe, by výrazné rozdiely</w:t>
      </w:r>
      <w:r w:rsidR="00F12C48">
        <w:rPr>
          <w:noProof/>
        </w:rPr>
        <w:t xml:space="preserve"> v </w:t>
      </w:r>
      <w:r w:rsidRPr="00F12C48">
        <w:rPr>
          <w:noProof/>
        </w:rPr>
        <w:t>požiadavkách na vykazovanie informácií</w:t>
      </w:r>
      <w:r w:rsidR="00F12C48">
        <w:rPr>
          <w:noProof/>
        </w:rPr>
        <w:t xml:space="preserve"> o </w:t>
      </w:r>
      <w:r w:rsidRPr="00F12C48">
        <w:rPr>
          <w:noProof/>
        </w:rPr>
        <w:t>udržateľnosti</w:t>
      </w:r>
      <w:r w:rsidR="00F12C48">
        <w:rPr>
          <w:noProof/>
        </w:rPr>
        <w:t xml:space="preserve"> a </w:t>
      </w:r>
      <w:r w:rsidRPr="00F12C48">
        <w:rPr>
          <w:noProof/>
        </w:rPr>
        <w:t>uistenie medzi členskými štátmi spôsobili dodatočné náklady</w:t>
      </w:r>
      <w:r w:rsidR="00F12C48">
        <w:rPr>
          <w:noProof/>
        </w:rPr>
        <w:t xml:space="preserve"> a </w:t>
      </w:r>
      <w:r w:rsidRPr="00F12C48">
        <w:rPr>
          <w:noProof/>
        </w:rPr>
        <w:t>zložitosť,</w:t>
      </w:r>
      <w:r w:rsidR="00F12C48">
        <w:rPr>
          <w:noProof/>
        </w:rPr>
        <w:t xml:space="preserve"> v </w:t>
      </w:r>
      <w:r w:rsidRPr="00F12C48">
        <w:rPr>
          <w:noProof/>
        </w:rPr>
        <w:t>dôsledku čoho by došlo</w:t>
      </w:r>
      <w:r w:rsidR="00F12C48">
        <w:rPr>
          <w:noProof/>
        </w:rPr>
        <w:t xml:space="preserve"> k </w:t>
      </w:r>
      <w:r w:rsidRPr="00F12C48">
        <w:rPr>
          <w:noProof/>
        </w:rPr>
        <w:t>narušeniu jednotného trhu. Ak členské štáty konajú samostatne, nedokážu zmeniť existujúce právne predpisy EÚ</w:t>
      </w:r>
      <w:r w:rsidR="00F12C48">
        <w:rPr>
          <w:noProof/>
        </w:rPr>
        <w:t xml:space="preserve"> s </w:t>
      </w:r>
      <w:r w:rsidRPr="00F12C48">
        <w:rPr>
          <w:noProof/>
        </w:rPr>
        <w:t>cieľom znížiť zaťaženie spoločností</w:t>
      </w:r>
      <w:r w:rsidR="00F12C48">
        <w:rPr>
          <w:noProof/>
        </w:rPr>
        <w:t>.</w:t>
      </w:r>
    </w:p>
    <w:p w14:paraId="73F48DFF" w14:textId="42827440" w:rsidR="00F12C48" w:rsidRDefault="00B52CFF" w:rsidP="00065E58">
      <w:pPr>
        <w:pStyle w:val="Text1"/>
        <w:pBdr>
          <w:top w:val="single" w:sz="4" w:space="1" w:color="auto"/>
          <w:left w:val="single" w:sz="4" w:space="4" w:color="auto"/>
          <w:bottom w:val="single" w:sz="4" w:space="1" w:color="auto"/>
          <w:right w:val="single" w:sz="4" w:space="4" w:color="auto"/>
        </w:pBdr>
        <w:rPr>
          <w:noProof/>
        </w:rPr>
      </w:pPr>
      <w:r w:rsidRPr="00F12C48">
        <w:rPr>
          <w:noProof/>
        </w:rPr>
        <w:t>Podobne sa</w:t>
      </w:r>
      <w:r w:rsidR="00F12C48">
        <w:rPr>
          <w:noProof/>
        </w:rPr>
        <w:t xml:space="preserve"> v </w:t>
      </w:r>
      <w:r w:rsidRPr="00F12C48">
        <w:rPr>
          <w:noProof/>
        </w:rPr>
        <w:t>smernici CSDDD už stanovuje harmonizovaný regulačný rámec pre náležitú starostlivosť podnikov</w:t>
      </w:r>
      <w:r w:rsidR="00F12C48">
        <w:rPr>
          <w:noProof/>
        </w:rPr>
        <w:t xml:space="preserve"> v </w:t>
      </w:r>
      <w:r w:rsidRPr="00F12C48">
        <w:rPr>
          <w:noProof/>
        </w:rPr>
        <w:t>oblasti udržateľnosti, ktorý sa vzťahuje aj na určité spoločnosti</w:t>
      </w:r>
      <w:r w:rsidR="00F12C48">
        <w:rPr>
          <w:noProof/>
        </w:rPr>
        <w:t xml:space="preserve"> z </w:t>
      </w:r>
      <w:r w:rsidRPr="00F12C48">
        <w:rPr>
          <w:noProof/>
        </w:rPr>
        <w:t>tretích krajín pôsobiace na trhu EÚ, čím sa</w:t>
      </w:r>
      <w:r w:rsidR="00F12C48">
        <w:rPr>
          <w:noProof/>
        </w:rPr>
        <w:t xml:space="preserve"> v </w:t>
      </w:r>
      <w:r w:rsidRPr="00F12C48">
        <w:rPr>
          <w:noProof/>
        </w:rPr>
        <w:t>tejto oblasti politiky zabezpečujú rovnaké podmienky</w:t>
      </w:r>
      <w:r w:rsidR="00F12C48">
        <w:rPr>
          <w:noProof/>
        </w:rPr>
        <w:t>.</w:t>
      </w:r>
    </w:p>
    <w:p w14:paraId="18713100" w14:textId="5B02E58B" w:rsidR="00CA2B31" w:rsidRPr="00F12C48" w:rsidRDefault="00CA2B31" w:rsidP="00CA2B31">
      <w:pPr>
        <w:pStyle w:val="ManualHeading3"/>
        <w:rPr>
          <w:noProof/>
        </w:rPr>
      </w:pPr>
      <w:bookmarkStart w:id="58" w:name="_Toc514938030"/>
      <w:bookmarkStart w:id="59" w:name="_Toc520485037"/>
      <w:bookmarkStart w:id="60" w:name="_Toc160804579"/>
      <w:bookmarkStart w:id="61" w:name="_Toc167220271"/>
      <w:bookmarkStart w:id="62" w:name="_Toc177549004"/>
      <w:r w:rsidRPr="00F12C48">
        <w:rPr>
          <w:noProof/>
        </w:rPr>
        <w:t>1.5.3.</w:t>
      </w:r>
      <w:r w:rsidRPr="00F12C48">
        <w:rPr>
          <w:noProof/>
        </w:rPr>
        <w:tab/>
        <w:t>Poznatky získané</w:t>
      </w:r>
      <w:r w:rsidR="00F12C48">
        <w:rPr>
          <w:noProof/>
        </w:rPr>
        <w:t xml:space="preserve"> z </w:t>
      </w:r>
      <w:r w:rsidRPr="00F12C48">
        <w:rPr>
          <w:noProof/>
        </w:rPr>
        <w:t>podobných skúseností</w:t>
      </w:r>
      <w:r w:rsidR="00F12C48">
        <w:rPr>
          <w:noProof/>
        </w:rPr>
        <w:t xml:space="preserve"> v </w:t>
      </w:r>
      <w:r w:rsidRPr="00F12C48">
        <w:rPr>
          <w:noProof/>
        </w:rPr>
        <w:t>minulosti</w:t>
      </w:r>
      <w:bookmarkEnd w:id="58"/>
      <w:bookmarkEnd w:id="59"/>
      <w:bookmarkEnd w:id="60"/>
      <w:bookmarkEnd w:id="61"/>
      <w:bookmarkEnd w:id="62"/>
    </w:p>
    <w:p w14:paraId="49719C46" w14:textId="77777777" w:rsidR="00CA2B31" w:rsidRPr="00F12C48" w:rsidRDefault="00CA2B31" w:rsidP="00CA2B31">
      <w:pPr>
        <w:pStyle w:val="Text1"/>
        <w:pBdr>
          <w:top w:val="single" w:sz="4" w:space="1" w:color="auto"/>
          <w:left w:val="single" w:sz="4" w:space="4" w:color="auto"/>
          <w:bottom w:val="single" w:sz="4" w:space="1" w:color="auto"/>
          <w:right w:val="single" w:sz="4" w:space="4" w:color="auto"/>
        </w:pBdr>
        <w:rPr>
          <w:noProof/>
        </w:rPr>
      </w:pPr>
      <w:r w:rsidRPr="00F12C48">
        <w:rPr>
          <w:noProof/>
        </w:rPr>
        <w:t>Neuplatňuje sa.</w:t>
      </w:r>
    </w:p>
    <w:p w14:paraId="26850A04" w14:textId="1CCD9166" w:rsidR="00CA2B31" w:rsidRPr="00F12C48" w:rsidRDefault="00CA2B31" w:rsidP="00CA2B31">
      <w:pPr>
        <w:pStyle w:val="ManualHeading3"/>
        <w:rPr>
          <w:noProof/>
        </w:rPr>
      </w:pPr>
      <w:bookmarkStart w:id="63" w:name="_Toc514938033"/>
      <w:bookmarkStart w:id="64" w:name="_Toc520485038"/>
      <w:bookmarkStart w:id="65" w:name="_Toc160804580"/>
      <w:bookmarkStart w:id="66" w:name="_Toc167220272"/>
      <w:bookmarkStart w:id="67" w:name="_Toc177549005"/>
      <w:r w:rsidRPr="00F12C48">
        <w:rPr>
          <w:noProof/>
        </w:rPr>
        <w:t>1.5.4.</w:t>
      </w:r>
      <w:r w:rsidRPr="00F12C48">
        <w:rPr>
          <w:noProof/>
        </w:rPr>
        <w:tab/>
        <w:t>Zlučiteľnosť</w:t>
      </w:r>
      <w:r w:rsidR="00F12C48">
        <w:rPr>
          <w:noProof/>
        </w:rPr>
        <w:t xml:space="preserve"> s </w:t>
      </w:r>
      <w:r w:rsidRPr="00F12C48">
        <w:rPr>
          <w:noProof/>
        </w:rPr>
        <w:t>viacročným finančným rámcom</w:t>
      </w:r>
      <w:r w:rsidR="00F12C48">
        <w:rPr>
          <w:noProof/>
        </w:rPr>
        <w:t xml:space="preserve"> a </w:t>
      </w:r>
      <w:r w:rsidRPr="00F12C48">
        <w:rPr>
          <w:noProof/>
        </w:rPr>
        <w:t>možná synergia</w:t>
      </w:r>
      <w:r w:rsidR="00F12C48">
        <w:rPr>
          <w:noProof/>
        </w:rPr>
        <w:t xml:space="preserve"> s </w:t>
      </w:r>
      <w:r w:rsidRPr="00F12C48">
        <w:rPr>
          <w:noProof/>
        </w:rPr>
        <w:t>inými vhodnými nástrojmi</w:t>
      </w:r>
      <w:bookmarkEnd w:id="63"/>
      <w:bookmarkEnd w:id="64"/>
      <w:bookmarkEnd w:id="65"/>
      <w:bookmarkEnd w:id="66"/>
      <w:bookmarkEnd w:id="67"/>
    </w:p>
    <w:p w14:paraId="58DDF419" w14:textId="77777777" w:rsidR="00CA2B31" w:rsidRPr="00F12C48" w:rsidRDefault="00CA2B31" w:rsidP="00CA2B31">
      <w:pPr>
        <w:pStyle w:val="Text1"/>
        <w:pBdr>
          <w:top w:val="single" w:sz="4" w:space="1" w:color="auto"/>
          <w:left w:val="single" w:sz="4" w:space="4" w:color="auto"/>
          <w:bottom w:val="single" w:sz="4" w:space="1" w:color="auto"/>
          <w:right w:val="single" w:sz="4" w:space="4" w:color="auto"/>
        </w:pBdr>
        <w:rPr>
          <w:noProof/>
        </w:rPr>
      </w:pPr>
      <w:r w:rsidRPr="00F12C48">
        <w:rPr>
          <w:noProof/>
        </w:rPr>
        <w:t>Neuplatňuje sa.</w:t>
      </w:r>
    </w:p>
    <w:p w14:paraId="55EA4935" w14:textId="77777777" w:rsidR="00CA2B31" w:rsidRPr="00F12C48" w:rsidRDefault="00CA2B31" w:rsidP="00CA2B31">
      <w:pPr>
        <w:pStyle w:val="ManualHeading3"/>
        <w:rPr>
          <w:noProof/>
        </w:rPr>
      </w:pPr>
      <w:bookmarkStart w:id="68" w:name="_Toc514938036"/>
      <w:bookmarkStart w:id="69" w:name="_Toc520485039"/>
      <w:bookmarkStart w:id="70" w:name="_Toc160804581"/>
      <w:bookmarkStart w:id="71" w:name="_Toc167220273"/>
      <w:bookmarkStart w:id="72" w:name="_Toc177549006"/>
      <w:r w:rsidRPr="00F12C48">
        <w:rPr>
          <w:noProof/>
        </w:rPr>
        <w:t>1.5.5.</w:t>
      </w:r>
      <w:r w:rsidRPr="00F12C48">
        <w:rPr>
          <w:noProof/>
        </w:rPr>
        <w:tab/>
        <w:t>Posúdenie rôznych disponibilných možností financovania vrátane možnosti prerozdelenia</w:t>
      </w:r>
      <w:bookmarkEnd w:id="68"/>
      <w:bookmarkEnd w:id="69"/>
      <w:bookmarkEnd w:id="70"/>
      <w:bookmarkEnd w:id="71"/>
      <w:bookmarkEnd w:id="72"/>
    </w:p>
    <w:p w14:paraId="18076633" w14:textId="77777777" w:rsidR="00CA2B31" w:rsidRPr="00F12C48" w:rsidRDefault="00CA2B31" w:rsidP="00CA2B31">
      <w:pPr>
        <w:pStyle w:val="Text1"/>
        <w:pBdr>
          <w:top w:val="single" w:sz="4" w:space="1" w:color="auto"/>
          <w:left w:val="single" w:sz="4" w:space="4" w:color="auto"/>
          <w:bottom w:val="single" w:sz="4" w:space="1" w:color="auto"/>
          <w:right w:val="single" w:sz="4" w:space="4" w:color="auto"/>
        </w:pBdr>
        <w:rPr>
          <w:noProof/>
        </w:rPr>
      </w:pPr>
      <w:r w:rsidRPr="00F12C48">
        <w:rPr>
          <w:noProof/>
        </w:rPr>
        <w:t>Neuplatňuje sa.</w:t>
      </w:r>
    </w:p>
    <w:p w14:paraId="6EE8743D" w14:textId="77777777" w:rsidR="00CA2B31" w:rsidRPr="00F12C48" w:rsidRDefault="00CA2B31" w:rsidP="00CA2B31">
      <w:pPr>
        <w:rPr>
          <w:noProof/>
        </w:rPr>
        <w:sectPr w:rsidR="00CA2B31" w:rsidRPr="00F12C48" w:rsidSect="008434AF">
          <w:pgSz w:w="11907" w:h="16840" w:code="9"/>
          <w:pgMar w:top="1134" w:right="1418" w:bottom="1134" w:left="1418" w:header="709" w:footer="709" w:gutter="0"/>
          <w:cols w:space="708"/>
          <w:docGrid w:linePitch="360"/>
        </w:sectPr>
      </w:pPr>
    </w:p>
    <w:p w14:paraId="1ADADC71" w14:textId="77777777" w:rsidR="00F12C48" w:rsidRDefault="00CA2B31" w:rsidP="00CA2B31">
      <w:pPr>
        <w:pStyle w:val="ManualHeading1"/>
        <w:rPr>
          <w:noProof/>
        </w:rPr>
      </w:pPr>
      <w:bookmarkStart w:id="73" w:name="_Toc514938050"/>
      <w:bookmarkStart w:id="74" w:name="_Toc520485049"/>
      <w:bookmarkStart w:id="75" w:name="_Toc160804591"/>
      <w:bookmarkStart w:id="76" w:name="_Toc167220283"/>
      <w:bookmarkStart w:id="77" w:name="_Toc177549016"/>
      <w:r w:rsidRPr="00F12C48">
        <w:rPr>
          <w:noProof/>
        </w:rPr>
        <w:lastRenderedPageBreak/>
        <w:t>3.</w:t>
      </w:r>
      <w:r w:rsidRPr="00F12C48">
        <w:rPr>
          <w:noProof/>
        </w:rPr>
        <w:tab/>
        <w:t>ODHADOVANÝ FINANČNÝ VPLYV NÁVRHU/INICIATÍVY</w:t>
      </w:r>
      <w:bookmarkEnd w:id="73"/>
      <w:bookmarkEnd w:id="74"/>
      <w:bookmarkEnd w:id="75"/>
      <w:bookmarkEnd w:id="76"/>
      <w:bookmarkEnd w:id="77"/>
    </w:p>
    <w:p w14:paraId="6F7E392C" w14:textId="77777777" w:rsidR="00F12C48" w:rsidRDefault="00CA2B31" w:rsidP="00CA2B31">
      <w:pPr>
        <w:pStyle w:val="ManualHeading2"/>
        <w:rPr>
          <w:noProof/>
        </w:rPr>
      </w:pPr>
      <w:bookmarkStart w:id="78" w:name="_Toc514938051"/>
      <w:bookmarkStart w:id="79" w:name="_Toc520485050"/>
      <w:bookmarkStart w:id="80" w:name="_Toc160804592"/>
      <w:bookmarkStart w:id="81" w:name="_Toc167220284"/>
      <w:bookmarkStart w:id="82" w:name="_Toc177549017"/>
      <w:r w:rsidRPr="00F12C48">
        <w:rPr>
          <w:noProof/>
        </w:rPr>
        <w:t>3.1.</w:t>
      </w:r>
      <w:r w:rsidRPr="00F12C48">
        <w:rPr>
          <w:noProof/>
        </w:rPr>
        <w:tab/>
        <w:t>Príslušné okruhy viacročného finančného rámca</w:t>
      </w:r>
      <w:r w:rsidR="00F12C48">
        <w:rPr>
          <w:noProof/>
        </w:rPr>
        <w:t xml:space="preserve"> a </w:t>
      </w:r>
      <w:r w:rsidRPr="00F12C48">
        <w:rPr>
          <w:noProof/>
        </w:rPr>
        <w:t>rozpočtové riadky výdavkov</w:t>
      </w:r>
      <w:bookmarkEnd w:id="78"/>
      <w:bookmarkEnd w:id="79"/>
      <w:bookmarkEnd w:id="80"/>
      <w:bookmarkEnd w:id="81"/>
      <w:bookmarkEnd w:id="82"/>
    </w:p>
    <w:p w14:paraId="21DE8826" w14:textId="7F5EB622" w:rsidR="00CA2B31" w:rsidRPr="00F12C48" w:rsidRDefault="00CA2B31" w:rsidP="00CA2B31">
      <w:pPr>
        <w:pStyle w:val="Text1"/>
        <w:pBdr>
          <w:top w:val="single" w:sz="4" w:space="1" w:color="auto"/>
          <w:left w:val="single" w:sz="4" w:space="4" w:color="auto"/>
          <w:bottom w:val="single" w:sz="4" w:space="1" w:color="auto"/>
          <w:right w:val="single" w:sz="4" w:space="4" w:color="auto"/>
        </w:pBdr>
        <w:rPr>
          <w:noProof/>
        </w:rPr>
      </w:pPr>
      <w:bookmarkStart w:id="83" w:name="_Hlk157691648"/>
      <w:r w:rsidRPr="00F12C48">
        <w:rPr>
          <w:noProof/>
        </w:rPr>
        <w:t>Neuplatňuje sa.</w:t>
      </w:r>
    </w:p>
    <w:p w14:paraId="7119D4C5" w14:textId="77777777" w:rsidR="00CA2B31" w:rsidRPr="00F12C48" w:rsidRDefault="00CA2B31" w:rsidP="00CA2B31">
      <w:pPr>
        <w:pStyle w:val="ManualHeading1"/>
        <w:rPr>
          <w:caps/>
          <w:noProof/>
        </w:rPr>
      </w:pPr>
      <w:bookmarkStart w:id="84" w:name="_Toc167220301"/>
      <w:bookmarkStart w:id="85" w:name="_Toc177549035"/>
      <w:bookmarkEnd w:id="83"/>
      <w:r w:rsidRPr="00F12C48">
        <w:rPr>
          <w:noProof/>
        </w:rPr>
        <w:t>4.</w:t>
      </w:r>
      <w:r w:rsidRPr="00F12C48">
        <w:rPr>
          <w:noProof/>
        </w:rPr>
        <w:tab/>
      </w:r>
      <w:bookmarkStart w:id="86" w:name="_Hlk167692977"/>
      <w:r w:rsidRPr="00F12C48">
        <w:rPr>
          <w:caps/>
          <w:noProof/>
        </w:rPr>
        <w:t>Digitálne rozmery</w:t>
      </w:r>
      <w:bookmarkEnd w:id="84"/>
      <w:bookmarkEnd w:id="85"/>
    </w:p>
    <w:p w14:paraId="070487E6" w14:textId="77777777" w:rsidR="00CA2B31" w:rsidRPr="00F12C48" w:rsidRDefault="00CA2B31" w:rsidP="00CA2B31">
      <w:pPr>
        <w:pStyle w:val="ManualHeading2"/>
        <w:rPr>
          <w:noProof/>
        </w:rPr>
      </w:pPr>
      <w:bookmarkStart w:id="87" w:name="_Toc167220302"/>
      <w:bookmarkStart w:id="88" w:name="_Toc177549037"/>
      <w:r w:rsidRPr="00F12C48">
        <w:rPr>
          <w:noProof/>
        </w:rPr>
        <w:t>4.1.</w:t>
      </w:r>
      <w:r w:rsidRPr="00F12C48">
        <w:rPr>
          <w:noProof/>
        </w:rPr>
        <w:tab/>
        <w:t>Požiadavky digitálneho významu</w:t>
      </w:r>
      <w:bookmarkEnd w:id="87"/>
      <w:bookmarkEnd w:id="88"/>
    </w:p>
    <w:tbl>
      <w:tblPr>
        <w:tblStyle w:val="Mriekatabuky"/>
        <w:tblW w:w="9072" w:type="dxa"/>
        <w:tblInd w:w="-5" w:type="dxa"/>
        <w:tblLayout w:type="fixed"/>
        <w:tblLook w:val="06A0" w:firstRow="1" w:lastRow="0" w:firstColumn="1" w:lastColumn="0" w:noHBand="1" w:noVBand="1"/>
      </w:tblPr>
      <w:tblGrid>
        <w:gridCol w:w="9072"/>
      </w:tblGrid>
      <w:tr w:rsidR="00CA2B31" w:rsidRPr="00F12C48" w14:paraId="1FF1B370" w14:textId="77777777">
        <w:trPr>
          <w:trHeight w:val="300"/>
        </w:trPr>
        <w:tc>
          <w:tcPr>
            <w:tcW w:w="9072" w:type="dxa"/>
          </w:tcPr>
          <w:p w14:paraId="0997947B" w14:textId="6DEE30E2" w:rsidR="00F12C48" w:rsidRDefault="00CA2B31">
            <w:pPr>
              <w:rPr>
                <w:noProof/>
              </w:rPr>
            </w:pPr>
            <w:r w:rsidRPr="00F12C48">
              <w:rPr>
                <w:noProof/>
              </w:rPr>
              <w:t>V požiadavkách na vykazovanie zavedených smernicou 2013/34/EÚ sa od spoločností vyžaduje, aby zhromažďovali</w:t>
            </w:r>
            <w:r w:rsidR="00F12C48">
              <w:rPr>
                <w:noProof/>
              </w:rPr>
              <w:t xml:space="preserve"> a </w:t>
            </w:r>
            <w:r w:rsidRPr="00F12C48">
              <w:rPr>
                <w:noProof/>
              </w:rPr>
              <w:t>vykazovali údaje týkajúce sa ich vplyvov, rizík</w:t>
            </w:r>
            <w:r w:rsidR="00F12C48">
              <w:rPr>
                <w:noProof/>
              </w:rPr>
              <w:t xml:space="preserve"> a </w:t>
            </w:r>
            <w:r w:rsidRPr="00F12C48">
              <w:rPr>
                <w:noProof/>
              </w:rPr>
              <w:t>príležitostí, pokiaľ ide</w:t>
            </w:r>
            <w:r w:rsidR="00F12C48">
              <w:rPr>
                <w:noProof/>
              </w:rPr>
              <w:t xml:space="preserve"> o </w:t>
            </w:r>
            <w:r w:rsidRPr="00F12C48">
              <w:rPr>
                <w:noProof/>
              </w:rPr>
              <w:t>významné aspekty udržateľnosti. Tento postup zahŕňa rozsiahlu identifikáciu, zber, spracovanie, overovanie</w:t>
            </w:r>
            <w:r w:rsidR="00F12C48">
              <w:rPr>
                <w:noProof/>
              </w:rPr>
              <w:t xml:space="preserve"> a </w:t>
            </w:r>
            <w:r w:rsidRPr="00F12C48">
              <w:rPr>
                <w:noProof/>
              </w:rPr>
              <w:t>uverejňovanie údajov. Na zber príslušných údajov podniky často využívajú digitálne platformy na zber</w:t>
            </w:r>
            <w:r w:rsidR="00F12C48">
              <w:rPr>
                <w:noProof/>
              </w:rPr>
              <w:t xml:space="preserve"> a </w:t>
            </w:r>
            <w:r w:rsidRPr="00F12C48">
              <w:rPr>
                <w:noProof/>
              </w:rPr>
              <w:t>zdieľanie údajov. Na uchovávanie</w:t>
            </w:r>
            <w:r w:rsidR="00F12C48">
              <w:rPr>
                <w:noProof/>
              </w:rPr>
              <w:t xml:space="preserve"> a </w:t>
            </w:r>
            <w:r w:rsidRPr="00F12C48">
              <w:rPr>
                <w:noProof/>
              </w:rPr>
              <w:t>spracúvanie údajov na účely vykazovania informácií</w:t>
            </w:r>
            <w:r w:rsidR="00F12C48">
              <w:rPr>
                <w:noProof/>
              </w:rPr>
              <w:t xml:space="preserve"> o </w:t>
            </w:r>
            <w:r w:rsidRPr="00F12C48">
              <w:rPr>
                <w:noProof/>
              </w:rPr>
              <w:t>udržateľnosti spoločnosti navyše často využívajú aj digitálne nástroje správy údajov</w:t>
            </w:r>
            <w:r w:rsidR="00F12C48">
              <w:rPr>
                <w:noProof/>
              </w:rPr>
              <w:t>.</w:t>
            </w:r>
          </w:p>
          <w:p w14:paraId="737B849F" w14:textId="5A8072B9" w:rsidR="00F12C48" w:rsidRDefault="00CA2B31">
            <w:pPr>
              <w:rPr>
                <w:noProof/>
              </w:rPr>
            </w:pPr>
            <w:r w:rsidRPr="00F12C48">
              <w:rPr>
                <w:noProof/>
              </w:rPr>
              <w:t>Používatelia informácií</w:t>
            </w:r>
            <w:r w:rsidR="00F12C48">
              <w:rPr>
                <w:noProof/>
              </w:rPr>
              <w:t xml:space="preserve"> o </w:t>
            </w:r>
            <w:r w:rsidRPr="00F12C48">
              <w:rPr>
                <w:noProof/>
              </w:rPr>
              <w:t>udržateľnosti stále viac očakávajú, že takéto informácie budú prístupné, porovnateľné</w:t>
            </w:r>
            <w:r w:rsidR="00F12C48">
              <w:rPr>
                <w:noProof/>
              </w:rPr>
              <w:t xml:space="preserve"> a </w:t>
            </w:r>
            <w:r w:rsidRPr="00F12C48">
              <w:rPr>
                <w:noProof/>
              </w:rPr>
              <w:t>strojovo čitateľné</w:t>
            </w:r>
            <w:r w:rsidR="00F12C48">
              <w:rPr>
                <w:noProof/>
              </w:rPr>
              <w:t xml:space="preserve"> v </w:t>
            </w:r>
            <w:r w:rsidRPr="00F12C48">
              <w:rPr>
                <w:noProof/>
              </w:rPr>
              <w:t>digitálnych formátoch. Členské štáty musia mať možnosť vyžadovať, aby podniky, na ktoré sa vzťahujú požiadavky na vykazovanie informácií</w:t>
            </w:r>
            <w:r w:rsidR="00F12C48">
              <w:rPr>
                <w:noProof/>
              </w:rPr>
              <w:t xml:space="preserve"> o </w:t>
            </w:r>
            <w:r w:rsidRPr="00F12C48">
              <w:rPr>
                <w:noProof/>
              </w:rPr>
              <w:t>udržateľnosti smernice 2013/34/EÚ, bezplatne sprístupňovali verejnosti svoje správy</w:t>
            </w:r>
            <w:r w:rsidR="00F12C48">
              <w:rPr>
                <w:noProof/>
              </w:rPr>
              <w:t xml:space="preserve"> o </w:t>
            </w:r>
            <w:r w:rsidRPr="00F12C48">
              <w:rPr>
                <w:noProof/>
              </w:rPr>
              <w:t>hospodárení na svojich webových sídlach. Digitalizácia vytvára príležitosti na efektívnejšie využívanie informácií</w:t>
            </w:r>
            <w:r w:rsidR="00F12C48">
              <w:rPr>
                <w:noProof/>
              </w:rPr>
              <w:t xml:space="preserve"> a </w:t>
            </w:r>
            <w:r w:rsidRPr="00F12C48">
              <w:rPr>
                <w:noProof/>
              </w:rPr>
              <w:t>má potenciál výrazne šetriť náklady tak pre používateľov, ako aj pre podniky. Digitalizácia takisto umožňuje centralizáciu údajov na úrovni Únie</w:t>
            </w:r>
            <w:r w:rsidR="00F12C48">
              <w:rPr>
                <w:noProof/>
              </w:rPr>
              <w:t xml:space="preserve"> a </w:t>
            </w:r>
            <w:r w:rsidRPr="00F12C48">
              <w:rPr>
                <w:noProof/>
              </w:rPr>
              <w:t>členských štátov</w:t>
            </w:r>
            <w:r w:rsidR="00F12C48">
              <w:rPr>
                <w:noProof/>
              </w:rPr>
              <w:t xml:space="preserve"> v </w:t>
            </w:r>
            <w:r w:rsidRPr="00F12C48">
              <w:rPr>
                <w:noProof/>
              </w:rPr>
              <w:t>otvorenom</w:t>
            </w:r>
            <w:r w:rsidR="00F12C48">
              <w:rPr>
                <w:noProof/>
              </w:rPr>
              <w:t xml:space="preserve"> a </w:t>
            </w:r>
            <w:r w:rsidRPr="00F12C48">
              <w:rPr>
                <w:noProof/>
              </w:rPr>
              <w:t>prístupnom formáte, ktorý uľahčuje čítanie</w:t>
            </w:r>
            <w:r w:rsidR="00F12C48">
              <w:rPr>
                <w:noProof/>
              </w:rPr>
              <w:t xml:space="preserve"> a </w:t>
            </w:r>
            <w:r w:rsidRPr="00F12C48">
              <w:rPr>
                <w:noProof/>
              </w:rPr>
              <w:t>umožňuje porovnávanie údajov. Tieto požiadavky dopĺňajú aj vytvorenie jednotného európskeho miesta prístupu (ESAP) pre verejné podnikové informácie</w:t>
            </w:r>
            <w:r w:rsidR="00F12C48">
              <w:rPr>
                <w:noProof/>
              </w:rPr>
              <w:t>.</w:t>
            </w:r>
          </w:p>
          <w:p w14:paraId="4431247C" w14:textId="59761FF6" w:rsidR="00F12C48" w:rsidRPr="004269D6" w:rsidRDefault="00CA2B31">
            <w:pPr>
              <w:rPr>
                <w:noProof/>
                <w:spacing w:val="-4"/>
              </w:rPr>
            </w:pPr>
            <w:r w:rsidRPr="004269D6">
              <w:rPr>
                <w:noProof/>
                <w:spacing w:val="-4"/>
              </w:rPr>
              <w:t>Pokiaľ ide</w:t>
            </w:r>
            <w:r w:rsidR="00F12C48" w:rsidRPr="004269D6">
              <w:rPr>
                <w:noProof/>
                <w:spacing w:val="-4"/>
              </w:rPr>
              <w:t xml:space="preserve"> o </w:t>
            </w:r>
            <w:r w:rsidRPr="004269D6">
              <w:rPr>
                <w:noProof/>
                <w:spacing w:val="-4"/>
              </w:rPr>
              <w:t>osobitné požiadavky</w:t>
            </w:r>
            <w:r w:rsidR="00F12C48" w:rsidRPr="004269D6">
              <w:rPr>
                <w:noProof/>
                <w:spacing w:val="-4"/>
              </w:rPr>
              <w:t xml:space="preserve"> v </w:t>
            </w:r>
            <w:r w:rsidRPr="004269D6">
              <w:rPr>
                <w:noProof/>
                <w:spacing w:val="-4"/>
              </w:rPr>
              <w:t>rámci smernice, ktoré majú digitálny význam, pozri ďalej</w:t>
            </w:r>
            <w:r w:rsidR="00F12C48" w:rsidRPr="004269D6">
              <w:rPr>
                <w:noProof/>
                <w:spacing w:val="-4"/>
              </w:rPr>
              <w:t>.</w:t>
            </w:r>
          </w:p>
          <w:p w14:paraId="227AA3B6" w14:textId="29C0ADEF" w:rsidR="00C8775A" w:rsidRPr="00F12C48" w:rsidRDefault="00C8775A" w:rsidP="00C8775A">
            <w:pPr>
              <w:rPr>
                <w:noProof/>
              </w:rPr>
            </w:pPr>
            <w:r w:rsidRPr="00F12C48">
              <w:rPr>
                <w:noProof/>
              </w:rPr>
              <w:t>V smernici 2013/34/EÚ sa vyžaduje, aby podniky, na ktoré sa vzťahuje vykazovanie informácií</w:t>
            </w:r>
            <w:r w:rsidR="00F12C48">
              <w:rPr>
                <w:noProof/>
              </w:rPr>
              <w:t xml:space="preserve"> o </w:t>
            </w:r>
            <w:r w:rsidRPr="00F12C48">
              <w:rPr>
                <w:noProof/>
              </w:rPr>
              <w:t>udržateľnosti, vypracúvali svoju správu</w:t>
            </w:r>
            <w:r w:rsidR="00F12C48">
              <w:rPr>
                <w:noProof/>
              </w:rPr>
              <w:t xml:space="preserve"> o </w:t>
            </w:r>
            <w:r w:rsidRPr="00F12C48">
              <w:rPr>
                <w:noProof/>
              </w:rPr>
              <w:t>hospodárení</w:t>
            </w:r>
            <w:r w:rsidR="00F12C48">
              <w:rPr>
                <w:noProof/>
              </w:rPr>
              <w:t xml:space="preserve"> v </w:t>
            </w:r>
            <w:r w:rsidRPr="00F12C48">
              <w:rPr>
                <w:noProof/>
              </w:rPr>
              <w:t>elektronickom formáte vykazovania, ktorý je stanovený</w:t>
            </w:r>
            <w:r w:rsidR="00F12C48">
              <w:rPr>
                <w:noProof/>
              </w:rPr>
              <w:t xml:space="preserve"> v </w:t>
            </w:r>
            <w:r w:rsidRPr="00F12C48">
              <w:rPr>
                <w:noProof/>
              </w:rPr>
              <w:t>článku 3 delegovaného nariadenia Komisie (EÚ) 2019/815 (delegované nariadenie</w:t>
            </w:r>
            <w:r w:rsidR="00F12C48">
              <w:rPr>
                <w:noProof/>
              </w:rPr>
              <w:t xml:space="preserve"> o </w:t>
            </w:r>
            <w:r w:rsidRPr="00F12C48">
              <w:rPr>
                <w:noProof/>
              </w:rPr>
              <w:t>ESEF). Vyžaduje sa</w:t>
            </w:r>
            <w:r w:rsidR="00F12C48">
              <w:rPr>
                <w:noProof/>
              </w:rPr>
              <w:t xml:space="preserve"> v </w:t>
            </w:r>
            <w:r w:rsidRPr="00F12C48">
              <w:rPr>
                <w:noProof/>
              </w:rPr>
              <w:t>nej aj to, aby tieto podniky označovali svoje vykazovanie informácií</w:t>
            </w:r>
            <w:r w:rsidR="00F12C48">
              <w:rPr>
                <w:noProof/>
              </w:rPr>
              <w:t xml:space="preserve"> o </w:t>
            </w:r>
            <w:r w:rsidRPr="00F12C48">
              <w:rPr>
                <w:noProof/>
              </w:rPr>
              <w:t>udržateľnosti vrátane zverejnení požadovaných</w:t>
            </w:r>
            <w:r w:rsidR="00F12C48">
              <w:rPr>
                <w:noProof/>
              </w:rPr>
              <w:t xml:space="preserve"> v </w:t>
            </w:r>
            <w:r w:rsidRPr="00F12C48">
              <w:rPr>
                <w:noProof/>
              </w:rPr>
              <w:t>článku 8 nariadenia (EÚ) 2020/852</w:t>
            </w:r>
            <w:r w:rsidR="00F12C48">
              <w:rPr>
                <w:noProof/>
              </w:rPr>
              <w:t xml:space="preserve"> v </w:t>
            </w:r>
            <w:r w:rsidRPr="00F12C48">
              <w:rPr>
                <w:noProof/>
              </w:rPr>
              <w:t>súlade</w:t>
            </w:r>
            <w:r w:rsidR="00F12C48">
              <w:rPr>
                <w:noProof/>
              </w:rPr>
              <w:t xml:space="preserve"> s </w:t>
            </w:r>
            <w:r w:rsidRPr="00F12C48">
              <w:rPr>
                <w:noProof/>
              </w:rPr>
              <w:t>digitálnou taxonómiou, ktorú má Komisia prijať prostredníctvom zmeny delegovaného nariadenia</w:t>
            </w:r>
            <w:r w:rsidR="00F12C48">
              <w:rPr>
                <w:noProof/>
              </w:rPr>
              <w:t xml:space="preserve"> o </w:t>
            </w:r>
            <w:r w:rsidRPr="00F12C48">
              <w:rPr>
                <w:noProof/>
              </w:rPr>
              <w:t>ESEF.</w:t>
            </w:r>
          </w:p>
          <w:p w14:paraId="26534E70" w14:textId="1FE55235" w:rsidR="00CA2B31" w:rsidRPr="00F12C48" w:rsidRDefault="00C8775A">
            <w:pPr>
              <w:rPr>
                <w:noProof/>
              </w:rPr>
            </w:pPr>
            <w:r w:rsidRPr="00F12C48">
              <w:rPr>
                <w:noProof/>
              </w:rPr>
              <w:t>Digitálna taxonómia štandardov vykazovania informácií</w:t>
            </w:r>
            <w:r w:rsidR="00F12C48">
              <w:rPr>
                <w:noProof/>
              </w:rPr>
              <w:t xml:space="preserve"> o </w:t>
            </w:r>
            <w:r w:rsidRPr="00F12C48">
              <w:rPr>
                <w:noProof/>
              </w:rPr>
              <w:t>udržateľnosti</w:t>
            </w:r>
            <w:r w:rsidR="00F12C48">
              <w:rPr>
                <w:noProof/>
              </w:rPr>
              <w:t xml:space="preserve"> v </w:t>
            </w:r>
            <w:r w:rsidRPr="00F12C48">
              <w:rPr>
                <w:noProof/>
              </w:rPr>
              <w:t>Únii umožní, aby sa vykazovanie informácií</w:t>
            </w:r>
            <w:r w:rsidR="00F12C48">
              <w:rPr>
                <w:noProof/>
              </w:rPr>
              <w:t xml:space="preserve"> o </w:t>
            </w:r>
            <w:r w:rsidRPr="00F12C48">
              <w:rPr>
                <w:noProof/>
              </w:rPr>
              <w:t>udržateľnosti označovalo</w:t>
            </w:r>
            <w:r w:rsidR="00F12C48">
              <w:rPr>
                <w:noProof/>
              </w:rPr>
              <w:t xml:space="preserve"> a </w:t>
            </w:r>
            <w:r w:rsidRPr="00F12C48">
              <w:rPr>
                <w:noProof/>
              </w:rPr>
              <w:t>aby bolo strojovo čitateľné. Až do prijatia tejto digitálnej taxonómie sa od podnikov nevyžaduje, aby svoje vyhlásenia</w:t>
            </w:r>
            <w:r w:rsidR="00F12C48">
              <w:rPr>
                <w:noProof/>
              </w:rPr>
              <w:t xml:space="preserve"> o </w:t>
            </w:r>
            <w:r w:rsidRPr="00F12C48">
              <w:rPr>
                <w:noProof/>
              </w:rPr>
              <w:t>udržateľnosti označovali. Keďže vyhlásenie</w:t>
            </w:r>
            <w:r w:rsidR="00F12C48">
              <w:rPr>
                <w:noProof/>
              </w:rPr>
              <w:t xml:space="preserve"> o </w:t>
            </w:r>
            <w:r w:rsidRPr="00F12C48">
              <w:rPr>
                <w:noProof/>
              </w:rPr>
              <w:t>udržateľnosti sa stane strojovo čitateľným až po tom, ako bude zahrnuté</w:t>
            </w:r>
            <w:r w:rsidR="00F12C48">
              <w:rPr>
                <w:noProof/>
              </w:rPr>
              <w:t xml:space="preserve"> v </w:t>
            </w:r>
            <w:r w:rsidRPr="00F12C48">
              <w:rPr>
                <w:noProof/>
              </w:rPr>
              <w:t>dokumente vo formáte XHTML</w:t>
            </w:r>
            <w:r w:rsidR="00F12C48">
              <w:rPr>
                <w:noProof/>
              </w:rPr>
              <w:t xml:space="preserve"> a </w:t>
            </w:r>
            <w:r w:rsidRPr="00F12C48">
              <w:rPr>
                <w:noProof/>
              </w:rPr>
              <w:t>označené digitálnou taxonómiou, až do prijatia digitálnej taxonómie sa nevyžaduje, aby podniky vypracúvali aj správu</w:t>
            </w:r>
            <w:r w:rsidR="00F12C48">
              <w:rPr>
                <w:noProof/>
              </w:rPr>
              <w:t xml:space="preserve"> o </w:t>
            </w:r>
            <w:r w:rsidRPr="00F12C48">
              <w:rPr>
                <w:noProof/>
              </w:rPr>
              <w:t>hospodárení vo formáte XHTML</w:t>
            </w:r>
            <w:r w:rsidR="00F12C48">
              <w:rPr>
                <w:noProof/>
              </w:rPr>
              <w:t>.</w:t>
            </w:r>
          </w:p>
          <w:p w14:paraId="64F4E2CC" w14:textId="26C01360" w:rsidR="00CA2B31" w:rsidRPr="00F12C48" w:rsidRDefault="00CA2B31">
            <w:pPr>
              <w:rPr>
                <w:noProof/>
              </w:rPr>
            </w:pPr>
            <w:r w:rsidRPr="00F12C48">
              <w:rPr>
                <w:noProof/>
              </w:rPr>
              <w:t>Medzi zainteresované strany, ktorých sa tieto požiadavky týkajú, patria podniky, od ktorých sa vyžaduje vypracovanie</w:t>
            </w:r>
            <w:r w:rsidR="00F12C48">
              <w:rPr>
                <w:noProof/>
              </w:rPr>
              <w:t xml:space="preserve"> a </w:t>
            </w:r>
            <w:r w:rsidRPr="00F12C48">
              <w:rPr>
                <w:noProof/>
              </w:rPr>
              <w:t>uverejnenie vyhlásenia</w:t>
            </w:r>
            <w:r w:rsidR="00F12C48">
              <w:rPr>
                <w:noProof/>
              </w:rPr>
              <w:t xml:space="preserve"> o </w:t>
            </w:r>
            <w:r w:rsidRPr="00F12C48">
              <w:rPr>
                <w:noProof/>
              </w:rPr>
              <w:t>udržateľnosti, ktoré bolo digitálne označené</w:t>
            </w:r>
            <w:r w:rsidR="00F12C48">
              <w:rPr>
                <w:noProof/>
              </w:rPr>
              <w:t xml:space="preserve"> a </w:t>
            </w:r>
            <w:r w:rsidRPr="00F12C48">
              <w:rPr>
                <w:noProof/>
              </w:rPr>
              <w:t>predložené vo formáte XHTML, ako aj poskytovatelia uistenia, ktorí musia overiť, či vyhlásenie</w:t>
            </w:r>
            <w:r w:rsidR="00F12C48">
              <w:rPr>
                <w:noProof/>
              </w:rPr>
              <w:t xml:space="preserve"> o </w:t>
            </w:r>
            <w:r w:rsidRPr="00F12C48">
              <w:rPr>
                <w:noProof/>
              </w:rPr>
              <w:t>udržateľnosti spĺňa potrebné požiadavky.</w:t>
            </w:r>
          </w:p>
          <w:p w14:paraId="21DC8DC7" w14:textId="65DF3FC1" w:rsidR="00F12C48" w:rsidRDefault="00CA2B31" w:rsidP="00845B88">
            <w:pPr>
              <w:pBdr>
                <w:top w:val="nil"/>
                <w:left w:val="nil"/>
                <w:bottom w:val="nil"/>
                <w:right w:val="nil"/>
                <w:between w:val="nil"/>
                <w:bar w:val="nil"/>
              </w:pBdr>
              <w:spacing w:before="0" w:after="240"/>
              <w:rPr>
                <w:noProof/>
              </w:rPr>
            </w:pPr>
            <w:r w:rsidRPr="00F12C48">
              <w:rPr>
                <w:noProof/>
              </w:rPr>
              <w:t>Súčasným návrhom sa nemenia existujúce pravidlá digitálneho označovania alebo formátu zavedené smernicou</w:t>
            </w:r>
            <w:r w:rsidR="00F12C48">
              <w:rPr>
                <w:noProof/>
              </w:rPr>
              <w:t xml:space="preserve"> o </w:t>
            </w:r>
            <w:r w:rsidRPr="00F12C48">
              <w:rPr>
                <w:noProof/>
              </w:rPr>
              <w:t>vykazovaní informácií</w:t>
            </w:r>
            <w:r w:rsidR="00F12C48">
              <w:rPr>
                <w:noProof/>
              </w:rPr>
              <w:t xml:space="preserve"> o </w:t>
            </w:r>
            <w:r w:rsidRPr="00F12C48">
              <w:rPr>
                <w:noProof/>
              </w:rPr>
              <w:t xml:space="preserve">udržateľnosti podnikov, ktoré posilnia </w:t>
            </w:r>
            <w:r w:rsidRPr="00F12C48">
              <w:rPr>
                <w:noProof/>
              </w:rPr>
              <w:lastRenderedPageBreak/>
              <w:t>digitálne vykazovanie</w:t>
            </w:r>
            <w:r w:rsidR="00F12C48">
              <w:rPr>
                <w:noProof/>
              </w:rPr>
              <w:t xml:space="preserve"> a </w:t>
            </w:r>
            <w:r w:rsidRPr="00F12C48">
              <w:rPr>
                <w:noProof/>
              </w:rPr>
              <w:t>umožnia využívať pri používaní informácií, ktoré podniky vykazujú, umelú inteligenciu</w:t>
            </w:r>
            <w:r w:rsidR="00F12C48">
              <w:rPr>
                <w:noProof/>
              </w:rPr>
              <w:t>.</w:t>
            </w:r>
          </w:p>
          <w:p w14:paraId="199C6595" w14:textId="127D9A9E" w:rsidR="00904981" w:rsidRPr="00F12C48" w:rsidRDefault="00904981" w:rsidP="00845B88">
            <w:pPr>
              <w:pBdr>
                <w:top w:val="nil"/>
                <w:left w:val="nil"/>
                <w:bottom w:val="nil"/>
                <w:right w:val="nil"/>
                <w:between w:val="nil"/>
                <w:bar w:val="nil"/>
              </w:pBdr>
              <w:spacing w:before="0" w:after="240"/>
              <w:rPr>
                <w:rFonts w:eastAsia="Arial Unicode MS"/>
                <w:noProof/>
                <w:color w:val="000000" w:themeColor="text1"/>
              </w:rPr>
            </w:pPr>
            <w:r w:rsidRPr="00F12C48">
              <w:rPr>
                <w:noProof/>
              </w:rPr>
              <w:t>Pokiaľ ide</w:t>
            </w:r>
            <w:r w:rsidR="00F12C48">
              <w:rPr>
                <w:noProof/>
              </w:rPr>
              <w:t xml:space="preserve"> o </w:t>
            </w:r>
            <w:r w:rsidRPr="00F12C48">
              <w:rPr>
                <w:noProof/>
              </w:rPr>
              <w:t>smernicu CSDDD, digitálne nástroje</w:t>
            </w:r>
            <w:r w:rsidR="00F12C48">
              <w:rPr>
                <w:noProof/>
              </w:rPr>
              <w:t xml:space="preserve"> a </w:t>
            </w:r>
            <w:r w:rsidRPr="00F12C48">
              <w:rPr>
                <w:noProof/>
              </w:rPr>
              <w:t>technológie by mohli podporiť</w:t>
            </w:r>
            <w:r w:rsidR="00F12C48">
              <w:rPr>
                <w:noProof/>
              </w:rPr>
              <w:t xml:space="preserve"> a </w:t>
            </w:r>
            <w:r w:rsidRPr="00F12C48">
              <w:rPr>
                <w:noProof/>
              </w:rPr>
              <w:t>znížiť náklady na zber</w:t>
            </w:r>
            <w:r w:rsidR="00F12C48">
              <w:rPr>
                <w:noProof/>
              </w:rPr>
              <w:t xml:space="preserve"> a </w:t>
            </w:r>
            <w:r w:rsidRPr="00F12C48">
              <w:rPr>
                <w:noProof/>
              </w:rPr>
              <w:t>posudzovanie údajov. Týmto návrhom sa nemenia príslušné ustanovenia smernice CSDDD.</w:t>
            </w:r>
          </w:p>
        </w:tc>
      </w:tr>
    </w:tbl>
    <w:p w14:paraId="167D8CE8" w14:textId="77777777" w:rsidR="00CA2B31" w:rsidRPr="00F12C48" w:rsidRDefault="00CA2B31" w:rsidP="00CA2B31">
      <w:pPr>
        <w:pStyle w:val="ManualHeading2"/>
        <w:rPr>
          <w:noProof/>
        </w:rPr>
      </w:pPr>
      <w:bookmarkStart w:id="89" w:name="_Toc167220303"/>
      <w:bookmarkStart w:id="90" w:name="_Toc177549038"/>
      <w:r w:rsidRPr="00F12C48">
        <w:rPr>
          <w:noProof/>
        </w:rPr>
        <w:lastRenderedPageBreak/>
        <w:t>4,2.</w:t>
      </w:r>
      <w:r w:rsidRPr="00F12C48">
        <w:rPr>
          <w:noProof/>
        </w:rPr>
        <w:tab/>
        <w:t>Údaje</w:t>
      </w:r>
      <w:bookmarkEnd w:id="89"/>
      <w:bookmarkEnd w:id="90"/>
    </w:p>
    <w:tbl>
      <w:tblPr>
        <w:tblStyle w:val="Mriekatabuky"/>
        <w:tblW w:w="0" w:type="auto"/>
        <w:tblLook w:val="04A0" w:firstRow="1" w:lastRow="0" w:firstColumn="1" w:lastColumn="0" w:noHBand="0" w:noVBand="1"/>
      </w:tblPr>
      <w:tblGrid>
        <w:gridCol w:w="9061"/>
      </w:tblGrid>
      <w:tr w:rsidR="00CA2B31" w:rsidRPr="00F12C48" w14:paraId="564E50A3" w14:textId="77777777">
        <w:tc>
          <w:tcPr>
            <w:tcW w:w="9063" w:type="dxa"/>
          </w:tcPr>
          <w:p w14:paraId="6993631D" w14:textId="77777777" w:rsidR="00CA2B31" w:rsidRPr="00F12C48" w:rsidRDefault="00CA2B31">
            <w:pPr>
              <w:rPr>
                <w:noProof/>
              </w:rPr>
            </w:pPr>
            <w:r w:rsidRPr="00F12C48">
              <w:rPr>
                <w:noProof/>
              </w:rPr>
              <w:t xml:space="preserve">Pozri predchádzajúci oddiel. </w:t>
            </w:r>
          </w:p>
        </w:tc>
      </w:tr>
    </w:tbl>
    <w:p w14:paraId="157855C8" w14:textId="77777777" w:rsidR="00CA2B31" w:rsidRPr="00F12C48" w:rsidRDefault="00CA2B31" w:rsidP="00CA2B31">
      <w:pPr>
        <w:pStyle w:val="ManualHeading2"/>
        <w:rPr>
          <w:noProof/>
        </w:rPr>
      </w:pPr>
      <w:bookmarkStart w:id="91" w:name="_Toc167220305"/>
      <w:bookmarkStart w:id="92" w:name="_Toc177549039"/>
      <w:r w:rsidRPr="00F12C48">
        <w:rPr>
          <w:noProof/>
        </w:rPr>
        <w:t>4.3.</w:t>
      </w:r>
      <w:r w:rsidRPr="00F12C48">
        <w:rPr>
          <w:noProof/>
        </w:rPr>
        <w:tab/>
        <w:t>Digitálne riešenia</w:t>
      </w:r>
      <w:bookmarkEnd w:id="91"/>
      <w:bookmarkEnd w:id="92"/>
    </w:p>
    <w:tbl>
      <w:tblPr>
        <w:tblStyle w:val="Mriekatabuky"/>
        <w:tblpPr w:leftFromText="141" w:rightFromText="141" w:vertAnchor="text" w:horzAnchor="margin" w:tblpY="2"/>
        <w:tblW w:w="9067" w:type="dxa"/>
        <w:tblLook w:val="04A0" w:firstRow="1" w:lastRow="0" w:firstColumn="1" w:lastColumn="0" w:noHBand="0" w:noVBand="1"/>
      </w:tblPr>
      <w:tblGrid>
        <w:gridCol w:w="9067"/>
      </w:tblGrid>
      <w:tr w:rsidR="00CA2B31" w:rsidRPr="00F12C48" w14:paraId="705B34B9" w14:textId="77777777">
        <w:tc>
          <w:tcPr>
            <w:tcW w:w="9067" w:type="dxa"/>
          </w:tcPr>
          <w:p w14:paraId="447FA7F5" w14:textId="77777777" w:rsidR="00CA2B31" w:rsidRPr="00F12C48" w:rsidRDefault="00CA2B31">
            <w:pPr>
              <w:rPr>
                <w:noProof/>
              </w:rPr>
            </w:pPr>
            <w:r w:rsidRPr="00F12C48">
              <w:rPr>
                <w:noProof/>
              </w:rPr>
              <w:t xml:space="preserve">Pozri predchádzajúci oddiel. </w:t>
            </w:r>
          </w:p>
        </w:tc>
      </w:tr>
    </w:tbl>
    <w:p w14:paraId="76028B6C" w14:textId="77777777" w:rsidR="00CA2B31" w:rsidRPr="00F12C48" w:rsidRDefault="00CA2B31" w:rsidP="00CA2B31">
      <w:pPr>
        <w:pStyle w:val="ManualHeading2"/>
        <w:rPr>
          <w:rStyle w:val="Zvraznenie"/>
          <w:b w:val="0"/>
          <w:bCs/>
          <w:i w:val="0"/>
          <w:iCs w:val="0"/>
          <w:noProof/>
        </w:rPr>
      </w:pPr>
      <w:bookmarkStart w:id="93" w:name="_Toc167220304"/>
      <w:bookmarkStart w:id="94" w:name="_Toc177549040"/>
      <w:r w:rsidRPr="00F12C48">
        <w:rPr>
          <w:rStyle w:val="Zvraznenie"/>
          <w:noProof/>
        </w:rPr>
        <w:t>4.4.</w:t>
      </w:r>
      <w:r w:rsidRPr="00F12C48">
        <w:rPr>
          <w:noProof/>
        </w:rPr>
        <w:tab/>
      </w:r>
      <w:r w:rsidRPr="00F12C48">
        <w:rPr>
          <w:rStyle w:val="Zvraznenie"/>
          <w:noProof/>
        </w:rPr>
        <w:t>Posúdenie interoperability</w:t>
      </w:r>
      <w:bookmarkEnd w:id="93"/>
      <w:bookmarkEnd w:id="94"/>
    </w:p>
    <w:tbl>
      <w:tblPr>
        <w:tblStyle w:val="Mriekatabuky"/>
        <w:tblpPr w:leftFromText="141" w:rightFromText="141" w:vertAnchor="text" w:horzAnchor="margin" w:tblpY="36"/>
        <w:tblW w:w="9067" w:type="dxa"/>
        <w:tblLayout w:type="fixed"/>
        <w:tblLook w:val="06A0" w:firstRow="1" w:lastRow="0" w:firstColumn="1" w:lastColumn="0" w:noHBand="1" w:noVBand="1"/>
      </w:tblPr>
      <w:tblGrid>
        <w:gridCol w:w="9067"/>
      </w:tblGrid>
      <w:tr w:rsidR="00CA2B31" w:rsidRPr="00F12C48" w14:paraId="086F4381" w14:textId="77777777">
        <w:trPr>
          <w:trHeight w:val="300"/>
        </w:trPr>
        <w:tc>
          <w:tcPr>
            <w:tcW w:w="9067" w:type="dxa"/>
          </w:tcPr>
          <w:p w14:paraId="5AABB5EE" w14:textId="77777777" w:rsidR="00CA2B31" w:rsidRPr="00F12C48" w:rsidRDefault="00CA2B31">
            <w:pPr>
              <w:rPr>
                <w:i/>
                <w:iCs/>
                <w:noProof/>
                <w:color w:val="215868" w:themeColor="accent5" w:themeShade="80"/>
              </w:rPr>
            </w:pPr>
            <w:r w:rsidRPr="00F12C48">
              <w:rPr>
                <w:noProof/>
              </w:rPr>
              <w:t>Neuplatňuje sa.</w:t>
            </w:r>
          </w:p>
        </w:tc>
      </w:tr>
    </w:tbl>
    <w:p w14:paraId="2F7D6FC0" w14:textId="77777777" w:rsidR="00CA2B31" w:rsidRPr="00F12C48" w:rsidRDefault="00CA2B31" w:rsidP="00CA2B31">
      <w:pPr>
        <w:pStyle w:val="ManualHeading2"/>
        <w:rPr>
          <w:noProof/>
        </w:rPr>
      </w:pPr>
      <w:bookmarkStart w:id="95" w:name="_Toc167220306"/>
      <w:bookmarkStart w:id="96" w:name="_Toc177549041"/>
      <w:r w:rsidRPr="00F12C48">
        <w:rPr>
          <w:noProof/>
        </w:rPr>
        <w:t>4.5.</w:t>
      </w:r>
      <w:r w:rsidRPr="00F12C48">
        <w:rPr>
          <w:noProof/>
        </w:rPr>
        <w:tab/>
        <w:t>Opatrenia na podporu digitálneho vykonávania</w:t>
      </w:r>
      <w:bookmarkEnd w:id="95"/>
      <w:bookmarkEnd w:id="96"/>
    </w:p>
    <w:tbl>
      <w:tblPr>
        <w:tblStyle w:val="Mriekatabuky"/>
        <w:tblpPr w:leftFromText="141" w:rightFromText="141" w:vertAnchor="text" w:horzAnchor="margin" w:tblpY="49"/>
        <w:tblW w:w="9067" w:type="dxa"/>
        <w:tblLook w:val="04A0" w:firstRow="1" w:lastRow="0" w:firstColumn="1" w:lastColumn="0" w:noHBand="0" w:noVBand="1"/>
      </w:tblPr>
      <w:tblGrid>
        <w:gridCol w:w="9067"/>
      </w:tblGrid>
      <w:tr w:rsidR="00CA2B31" w:rsidRPr="00F12C48" w14:paraId="537B6991" w14:textId="77777777">
        <w:tc>
          <w:tcPr>
            <w:tcW w:w="9067" w:type="dxa"/>
          </w:tcPr>
          <w:p w14:paraId="69D7581F" w14:textId="7C4066B5" w:rsidR="00F12C48" w:rsidRDefault="00CA2B31">
            <w:pPr>
              <w:rPr>
                <w:noProof/>
              </w:rPr>
            </w:pPr>
            <w:r w:rsidRPr="00F12C48">
              <w:rPr>
                <w:noProof/>
              </w:rPr>
              <w:t>V snahe uľahčiť bezproblémové vykonávanie požiadaviek digitálneho významu uvedených</w:t>
            </w:r>
            <w:r w:rsidR="00F12C48">
              <w:rPr>
                <w:noProof/>
              </w:rPr>
              <w:t xml:space="preserve"> v </w:t>
            </w:r>
            <w:r w:rsidRPr="00F12C48">
              <w:rPr>
                <w:noProof/>
              </w:rPr>
              <w:t>oddiele 4.1 je Komisia zapojená do viacerých iniciatív</w:t>
            </w:r>
            <w:r w:rsidR="00F12C48">
              <w:rPr>
                <w:noProof/>
              </w:rPr>
              <w:t>.</w:t>
            </w:r>
          </w:p>
          <w:p w14:paraId="483AC7A4" w14:textId="031E9F45" w:rsidR="00F12C48" w:rsidRDefault="00CA2B31">
            <w:pPr>
              <w:rPr>
                <w:noProof/>
              </w:rPr>
            </w:pPr>
            <w:r w:rsidRPr="00F12C48">
              <w:rPr>
                <w:noProof/>
              </w:rPr>
              <w:t>Po prvé, digitálna taxonómia štandardov vykazovania informácií</w:t>
            </w:r>
            <w:r w:rsidR="00F12C48">
              <w:rPr>
                <w:noProof/>
              </w:rPr>
              <w:t xml:space="preserve"> o </w:t>
            </w:r>
            <w:r w:rsidRPr="00F12C48">
              <w:rPr>
                <w:noProof/>
              </w:rPr>
              <w:t>udržateľnosti</w:t>
            </w:r>
            <w:r w:rsidR="00F12C48">
              <w:rPr>
                <w:noProof/>
              </w:rPr>
              <w:t xml:space="preserve"> v </w:t>
            </w:r>
            <w:r w:rsidRPr="00F12C48">
              <w:rPr>
                <w:noProof/>
              </w:rPr>
              <w:t>Únii bude nevyhnutná na to, aby sa vykazované informácie mohli označovať</w:t>
            </w:r>
            <w:r w:rsidR="00F12C48">
              <w:rPr>
                <w:noProof/>
              </w:rPr>
              <w:t xml:space="preserve"> v </w:t>
            </w:r>
            <w:r w:rsidRPr="00F12C48">
              <w:rPr>
                <w:noProof/>
              </w:rPr>
              <w:t>súlade</w:t>
            </w:r>
            <w:r w:rsidR="00F12C48">
              <w:rPr>
                <w:noProof/>
              </w:rPr>
              <w:t xml:space="preserve"> s </w:t>
            </w:r>
            <w:r w:rsidRPr="00F12C48">
              <w:rPr>
                <w:noProof/>
              </w:rPr>
              <w:t>uvedenými štandardmi vykazovania informácií</w:t>
            </w:r>
            <w:r w:rsidR="00F12C48">
              <w:rPr>
                <w:noProof/>
              </w:rPr>
              <w:t xml:space="preserve"> o </w:t>
            </w:r>
            <w:r w:rsidRPr="00F12C48">
              <w:rPr>
                <w:noProof/>
              </w:rPr>
              <w:t>udržateľnosti. Komisia prijme digitálnu taxonómiu na označovanie informácií</w:t>
            </w:r>
            <w:r w:rsidR="00F12C48">
              <w:rPr>
                <w:noProof/>
              </w:rPr>
              <w:t xml:space="preserve"> o </w:t>
            </w:r>
            <w:r w:rsidRPr="00F12C48">
              <w:rPr>
                <w:noProof/>
              </w:rPr>
              <w:t>udržateľnosti prostredníctvom delegovaného aktu po tom, ako jej orgán ESMA poskytne technické poradenstvo</w:t>
            </w:r>
            <w:r w:rsidR="00F12C48">
              <w:rPr>
                <w:noProof/>
              </w:rPr>
              <w:t>.</w:t>
            </w:r>
          </w:p>
          <w:p w14:paraId="3119ACB5" w14:textId="464C35CF" w:rsidR="00CA2B31" w:rsidRPr="00F12C48" w:rsidRDefault="00CA2B31">
            <w:pPr>
              <w:rPr>
                <w:noProof/>
              </w:rPr>
            </w:pPr>
            <w:r w:rsidRPr="00F12C48">
              <w:rPr>
                <w:noProof/>
              </w:rPr>
              <w:t>Po druhé,</w:t>
            </w:r>
            <w:r w:rsidR="00F12C48">
              <w:rPr>
                <w:noProof/>
              </w:rPr>
              <w:t xml:space="preserve"> v </w:t>
            </w:r>
            <w:r w:rsidRPr="00F12C48">
              <w:rPr>
                <w:noProof/>
              </w:rPr>
              <w:t>rámci Nástroja technickej podpory (edícia 2025) má Komisia</w:t>
            </w:r>
            <w:r w:rsidR="00F12C48">
              <w:rPr>
                <w:noProof/>
              </w:rPr>
              <w:t xml:space="preserve"> v </w:t>
            </w:r>
            <w:r w:rsidRPr="00F12C48">
              <w:rPr>
                <w:noProof/>
              </w:rPr>
              <w:t>úmysle spustiť vo viacerých krajinách vlajkový projekt pod názvom „Zlepšovanie vykazovania informácií</w:t>
            </w:r>
            <w:r w:rsidR="00F12C48">
              <w:rPr>
                <w:noProof/>
              </w:rPr>
              <w:t xml:space="preserve"> o </w:t>
            </w:r>
            <w:r w:rsidRPr="00F12C48">
              <w:rPr>
                <w:noProof/>
              </w:rPr>
              <w:t>udržateľnosti pre podniky“. Táto iniciatíva má za cieľ zlepšiť kapacitu členských štátov</w:t>
            </w:r>
            <w:r w:rsidR="00F12C48">
              <w:rPr>
                <w:noProof/>
              </w:rPr>
              <w:t xml:space="preserve"> v </w:t>
            </w:r>
            <w:r w:rsidRPr="00F12C48">
              <w:rPr>
                <w:noProof/>
              </w:rPr>
              <w:t>oblasti podpory spoločností – najmä MSP – pri vykonávaní smernice CSRD</w:t>
            </w:r>
            <w:r w:rsidR="00F12C48">
              <w:rPr>
                <w:noProof/>
              </w:rPr>
              <w:t xml:space="preserve"> a </w:t>
            </w:r>
            <w:r w:rsidRPr="00F12C48">
              <w:rPr>
                <w:noProof/>
              </w:rPr>
              <w:t>požiadaviek na vykazovanie informácii</w:t>
            </w:r>
            <w:r w:rsidR="00F12C48">
              <w:rPr>
                <w:noProof/>
              </w:rPr>
              <w:t xml:space="preserve"> v </w:t>
            </w:r>
            <w:r w:rsidRPr="00F12C48">
              <w:rPr>
                <w:noProof/>
              </w:rPr>
              <w:t>rámci taxonómie EÚ.</w:t>
            </w:r>
            <w:r w:rsidR="00F12C48">
              <w:rPr>
                <w:noProof/>
              </w:rPr>
              <w:t xml:space="preserve"> V </w:t>
            </w:r>
            <w:r w:rsidRPr="00F12C48">
              <w:rPr>
                <w:noProof/>
              </w:rPr>
              <w:t>podpore</w:t>
            </w:r>
            <w:r w:rsidR="00F12C48">
              <w:rPr>
                <w:noProof/>
              </w:rPr>
              <w:t xml:space="preserve"> v </w:t>
            </w:r>
            <w:r w:rsidRPr="00F12C48">
              <w:rPr>
                <w:noProof/>
              </w:rPr>
              <w:t>rámci tejto iniciatívy sa zohľadní vývoj požiadaviek na vykazovanie, pričom táto podpora bude relevantná aj pre nekótované MSP, ktoré nepodliehajú povinnému vykazovaniu, no od svojich finančných partnerov</w:t>
            </w:r>
            <w:r w:rsidR="00F12C48">
              <w:rPr>
                <w:noProof/>
              </w:rPr>
              <w:t xml:space="preserve"> a </w:t>
            </w:r>
            <w:r w:rsidRPr="00F12C48">
              <w:rPr>
                <w:noProof/>
              </w:rPr>
              <w:t>partnerov</w:t>
            </w:r>
            <w:r w:rsidR="00F12C48">
              <w:rPr>
                <w:noProof/>
              </w:rPr>
              <w:t xml:space="preserve"> v </w:t>
            </w:r>
            <w:r w:rsidRPr="00F12C48">
              <w:rPr>
                <w:noProof/>
              </w:rPr>
              <w:t>hodnotovom reťazci pociťujú čoraz intenzívnejší tlak na vykazovanie informácií</w:t>
            </w:r>
            <w:r w:rsidR="00F12C48">
              <w:rPr>
                <w:noProof/>
              </w:rPr>
              <w:t xml:space="preserve"> o </w:t>
            </w:r>
            <w:r w:rsidRPr="00F12C48">
              <w:rPr>
                <w:noProof/>
              </w:rPr>
              <w:t>udržateľnosti.</w:t>
            </w:r>
          </w:p>
          <w:p w14:paraId="1B9B3F89" w14:textId="7C4FA351" w:rsidR="00F12C48" w:rsidRDefault="00CA2B31">
            <w:pPr>
              <w:rPr>
                <w:noProof/>
              </w:rPr>
            </w:pPr>
            <w:r w:rsidRPr="00F12C48">
              <w:rPr>
                <w:noProof/>
              </w:rPr>
              <w:t>Po tretie, skupina EFRAG spustila fórum pre MSP, na ktorom sa stretávajú relevantné zainteresované strany</w:t>
            </w:r>
            <w:r w:rsidR="00F12C48">
              <w:rPr>
                <w:noProof/>
              </w:rPr>
              <w:t xml:space="preserve"> z </w:t>
            </w:r>
            <w:r w:rsidRPr="00F12C48">
              <w:rPr>
                <w:noProof/>
              </w:rPr>
              <w:t>komunity MSP, aby diskutovali</w:t>
            </w:r>
            <w:r w:rsidR="00F12C48">
              <w:rPr>
                <w:noProof/>
              </w:rPr>
              <w:t xml:space="preserve"> o </w:t>
            </w:r>
            <w:r w:rsidRPr="00F12C48">
              <w:rPr>
                <w:noProof/>
              </w:rPr>
              <w:t>vykonávaní požiadaviek na vykazovanie informácií</w:t>
            </w:r>
            <w:r w:rsidR="00F12C48">
              <w:rPr>
                <w:noProof/>
              </w:rPr>
              <w:t xml:space="preserve"> o </w:t>
            </w:r>
            <w:r w:rsidRPr="00F12C48">
              <w:rPr>
                <w:noProof/>
              </w:rPr>
              <w:t>udržateľnosti</w:t>
            </w:r>
            <w:r w:rsidR="00F12C48">
              <w:rPr>
                <w:noProof/>
              </w:rPr>
              <w:t xml:space="preserve"> a o </w:t>
            </w:r>
            <w:r w:rsidRPr="00F12C48">
              <w:rPr>
                <w:noProof/>
              </w:rPr>
              <w:t>tom, ako možno využiť digitálne riešenia</w:t>
            </w:r>
            <w:r w:rsidR="00F12C48">
              <w:rPr>
                <w:noProof/>
              </w:rPr>
              <w:t xml:space="preserve"> a </w:t>
            </w:r>
            <w:r w:rsidRPr="00F12C48">
              <w:rPr>
                <w:noProof/>
              </w:rPr>
              <w:t>nástroje na to, aby sa malým</w:t>
            </w:r>
            <w:r w:rsidR="00F12C48">
              <w:rPr>
                <w:noProof/>
              </w:rPr>
              <w:t xml:space="preserve"> a </w:t>
            </w:r>
            <w:r w:rsidRPr="00F12C48">
              <w:rPr>
                <w:noProof/>
              </w:rPr>
              <w:t>stredným podnikom uľahčilo vykazovanie informácií</w:t>
            </w:r>
            <w:r w:rsidR="00F12C48">
              <w:rPr>
                <w:noProof/>
              </w:rPr>
              <w:t xml:space="preserve"> o </w:t>
            </w:r>
            <w:r w:rsidRPr="00F12C48">
              <w:rPr>
                <w:noProof/>
              </w:rPr>
              <w:t>udržateľnosti</w:t>
            </w:r>
            <w:r w:rsidR="00F12C48">
              <w:rPr>
                <w:noProof/>
              </w:rPr>
              <w:t>.</w:t>
            </w:r>
          </w:p>
          <w:p w14:paraId="3A0E590F" w14:textId="7D1FBB2E" w:rsidR="004F2909" w:rsidRPr="00F12C48" w:rsidRDefault="004F2909">
            <w:pPr>
              <w:rPr>
                <w:noProof/>
              </w:rPr>
            </w:pPr>
            <w:r w:rsidRPr="00F12C48">
              <w:rPr>
                <w:noProof/>
              </w:rPr>
              <w:t>Pokiaľ ide</w:t>
            </w:r>
            <w:r w:rsidR="00F12C48">
              <w:rPr>
                <w:noProof/>
              </w:rPr>
              <w:t xml:space="preserve"> o </w:t>
            </w:r>
            <w:r w:rsidRPr="00F12C48">
              <w:rPr>
                <w:noProof/>
              </w:rPr>
              <w:t>smernicu CSDDD,</w:t>
            </w:r>
            <w:r w:rsidR="00F12C48">
              <w:rPr>
                <w:noProof/>
              </w:rPr>
              <w:t xml:space="preserve"> s </w:t>
            </w:r>
            <w:r w:rsidRPr="00F12C48">
              <w:rPr>
                <w:noProof/>
              </w:rPr>
              <w:t>cieľom pomôcť spoločnostiam plniť si povinnosti náležitej starostlivosti</w:t>
            </w:r>
            <w:r w:rsidR="00F12C48">
              <w:rPr>
                <w:noProof/>
              </w:rPr>
              <w:t xml:space="preserve"> v </w:t>
            </w:r>
            <w:r w:rsidRPr="00F12C48">
              <w:rPr>
                <w:noProof/>
              </w:rPr>
              <w:t>celom ich hodnotovom reťazci sa</w:t>
            </w:r>
            <w:r w:rsidR="00F12C48">
              <w:rPr>
                <w:noProof/>
              </w:rPr>
              <w:t xml:space="preserve"> v </w:t>
            </w:r>
            <w:r w:rsidRPr="00F12C48">
              <w:rPr>
                <w:noProof/>
              </w:rPr>
              <w:t>smernici podporuje používanie digitálnych nástrojov</w:t>
            </w:r>
            <w:r w:rsidR="00F12C48">
              <w:rPr>
                <w:noProof/>
              </w:rPr>
              <w:t xml:space="preserve"> a </w:t>
            </w:r>
            <w:r w:rsidRPr="00F12C48">
              <w:rPr>
                <w:noProof/>
              </w:rPr>
              <w:t>technológií</w:t>
            </w:r>
            <w:r w:rsidR="00F12C48">
              <w:rPr>
                <w:noProof/>
              </w:rPr>
              <w:t xml:space="preserve"> a </w:t>
            </w:r>
            <w:r w:rsidRPr="00F12C48">
              <w:rPr>
                <w:noProof/>
              </w:rPr>
              <w:t>od Komisie sa vyžaduje, aby vydala usmernenia</w:t>
            </w:r>
            <w:r w:rsidR="00F12C48">
              <w:rPr>
                <w:noProof/>
              </w:rPr>
              <w:t xml:space="preserve"> s </w:t>
            </w:r>
            <w:r w:rsidRPr="00F12C48">
              <w:rPr>
                <w:noProof/>
              </w:rPr>
              <w:t>užitočnými informáciami</w:t>
            </w:r>
            <w:r w:rsidR="00F12C48">
              <w:rPr>
                <w:noProof/>
              </w:rPr>
              <w:t xml:space="preserve"> a </w:t>
            </w:r>
            <w:r w:rsidRPr="00F12C48">
              <w:rPr>
                <w:noProof/>
              </w:rPr>
              <w:t>odkazmi na primerané zdroje. Týmto návrhom sa nemenia príslušné ustanovenia.</w:t>
            </w:r>
          </w:p>
        </w:tc>
      </w:tr>
      <w:bookmarkEnd w:id="86"/>
    </w:tbl>
    <w:p w14:paraId="408DC6B4" w14:textId="77777777" w:rsidR="00CA2B31" w:rsidRPr="00F12C48" w:rsidRDefault="00CA2B31" w:rsidP="00D13127">
      <w:pPr>
        <w:rPr>
          <w:noProof/>
        </w:rPr>
      </w:pPr>
    </w:p>
    <w:sectPr w:rsidR="00CA2B31" w:rsidRPr="00F12C48" w:rsidSect="008434AF">
      <w:pgSz w:w="11907" w:h="16840" w:code="9"/>
      <w:pgMar w:top="1134"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1914D" w14:textId="77777777" w:rsidR="00A3793C" w:rsidRDefault="00A3793C" w:rsidP="006C7F87">
      <w:pPr>
        <w:spacing w:before="0" w:after="0"/>
      </w:pPr>
      <w:r>
        <w:separator/>
      </w:r>
    </w:p>
  </w:endnote>
  <w:endnote w:type="continuationSeparator" w:id="0">
    <w:p w14:paraId="44E92779" w14:textId="77777777" w:rsidR="00A3793C" w:rsidRDefault="00A3793C" w:rsidP="006C7F87">
      <w:pPr>
        <w:spacing w:before="0" w:after="0"/>
      </w:pPr>
      <w:r>
        <w:continuationSeparator/>
      </w:r>
    </w:p>
  </w:endnote>
  <w:endnote w:type="continuationNotice" w:id="1">
    <w:p w14:paraId="625B8ADE" w14:textId="77777777" w:rsidR="00A3793C" w:rsidRDefault="00A3793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495D" w14:textId="6C07AE92" w:rsidR="008434AF" w:rsidRPr="008434AF" w:rsidRDefault="008434AF" w:rsidP="008434AF">
    <w:pPr>
      <w:pStyle w:val="Pta"/>
      <w:rPr>
        <w:rFonts w:ascii="Arial" w:hAnsi="Arial" w:cs="Arial"/>
        <w:b/>
        <w:sz w:val="48"/>
      </w:rPr>
    </w:pPr>
    <w:r w:rsidRPr="008434AF">
      <w:rPr>
        <w:rFonts w:ascii="Arial" w:hAnsi="Arial" w:cs="Arial"/>
        <w:b/>
        <w:sz w:val="48"/>
      </w:rPr>
      <w:t>SK</w:t>
    </w:r>
    <w:r w:rsidRPr="008434AF">
      <w:rPr>
        <w:rFonts w:ascii="Arial" w:hAnsi="Arial" w:cs="Arial"/>
        <w:b/>
        <w:sz w:val="48"/>
      </w:rPr>
      <w:tab/>
    </w:r>
    <w:r w:rsidRPr="008434AF">
      <w:rPr>
        <w:rFonts w:ascii="Arial" w:hAnsi="Arial" w:cs="Arial"/>
        <w:b/>
        <w:sz w:val="48"/>
      </w:rPr>
      <w:tab/>
    </w:r>
    <w:r w:rsidRPr="008434AF">
      <w:tab/>
    </w:r>
    <w:r w:rsidRPr="008434AF">
      <w:rPr>
        <w:rFonts w:ascii="Arial" w:hAnsi="Arial" w:cs="Arial"/>
        <w:b/>
        <w:sz w:val="48"/>
      </w:rPr>
      <w:t>SK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7FFA8" w14:textId="37901267" w:rsidR="008434AF" w:rsidRPr="008434AF" w:rsidRDefault="008434AF" w:rsidP="008434AF">
    <w:pPr>
      <w:pStyle w:val="Pta"/>
      <w:rPr>
        <w:rFonts w:ascii="Arial" w:hAnsi="Arial" w:cs="Arial"/>
        <w:b/>
        <w:sz w:val="48"/>
      </w:rPr>
    </w:pPr>
    <w:r w:rsidRPr="008434AF">
      <w:rPr>
        <w:rFonts w:ascii="Arial" w:hAnsi="Arial" w:cs="Arial"/>
        <w:b/>
        <w:sz w:val="48"/>
      </w:rPr>
      <w:t>SK</w:t>
    </w:r>
    <w:r w:rsidRPr="008434AF">
      <w:rPr>
        <w:rFonts w:ascii="Arial" w:hAnsi="Arial" w:cs="Arial"/>
        <w:b/>
        <w:sz w:val="48"/>
      </w:rPr>
      <w:tab/>
    </w:r>
    <w:r w:rsidRPr="008434AF">
      <w:rPr>
        <w:rFonts w:ascii="Arial" w:hAnsi="Arial" w:cs="Arial"/>
        <w:b/>
        <w:sz w:val="48"/>
      </w:rPr>
      <w:tab/>
    </w:r>
    <w:r w:rsidRPr="008434AF">
      <w:tab/>
    </w:r>
    <w:r w:rsidRPr="008434AF">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085D0" w14:textId="77777777" w:rsidR="008434AF" w:rsidRDefault="008434AF">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D2CB0" w14:textId="5701C4A1" w:rsidR="008434AF" w:rsidRPr="008434AF" w:rsidRDefault="008434AF" w:rsidP="008434AF">
    <w:pPr>
      <w:pStyle w:val="Pta"/>
      <w:rPr>
        <w:rFonts w:ascii="Arial" w:hAnsi="Arial" w:cs="Arial"/>
        <w:b/>
        <w:sz w:val="48"/>
      </w:rPr>
    </w:pPr>
    <w:r w:rsidRPr="008434AF">
      <w:rPr>
        <w:rFonts w:ascii="Arial" w:hAnsi="Arial" w:cs="Arial"/>
        <w:b/>
        <w:sz w:val="48"/>
      </w:rPr>
      <w:t>SK</w:t>
    </w:r>
    <w:r w:rsidRPr="008434AF">
      <w:rPr>
        <w:rFonts w:ascii="Arial" w:hAnsi="Arial" w:cs="Arial"/>
        <w:b/>
        <w:sz w:val="48"/>
      </w:rPr>
      <w:tab/>
    </w:r>
    <w:r>
      <w:fldChar w:fldCharType="begin"/>
    </w:r>
    <w:r>
      <w:instrText xml:space="preserve"> PAGE  \* MERGEFORMAT </w:instrText>
    </w:r>
    <w:r>
      <w:fldChar w:fldCharType="separate"/>
    </w:r>
    <w:r w:rsidR="00346CAD">
      <w:rPr>
        <w:noProof/>
      </w:rPr>
      <w:t>5</w:t>
    </w:r>
    <w:r>
      <w:fldChar w:fldCharType="end"/>
    </w:r>
    <w:r>
      <w:tab/>
    </w:r>
    <w:r w:rsidRPr="008434AF">
      <w:tab/>
    </w:r>
    <w:r w:rsidRPr="008434AF">
      <w:rPr>
        <w:rFonts w:ascii="Arial" w:hAnsi="Arial" w:cs="Arial"/>
        <w:b/>
        <w:sz w:val="48"/>
      </w:rPr>
      <w:t>SK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99767" w14:textId="77777777" w:rsidR="008434AF" w:rsidRDefault="008434AF" w:rsidP="008434A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DE9D8" w14:textId="77777777" w:rsidR="00A3793C" w:rsidRDefault="00A3793C" w:rsidP="006C7F87">
      <w:pPr>
        <w:spacing w:before="0" w:after="0"/>
      </w:pPr>
      <w:r>
        <w:separator/>
      </w:r>
    </w:p>
  </w:footnote>
  <w:footnote w:type="continuationSeparator" w:id="0">
    <w:p w14:paraId="0A5AB533" w14:textId="77777777" w:rsidR="00A3793C" w:rsidRDefault="00A3793C" w:rsidP="006C7F87">
      <w:pPr>
        <w:spacing w:before="0" w:after="0"/>
      </w:pPr>
      <w:r>
        <w:continuationSeparator/>
      </w:r>
    </w:p>
  </w:footnote>
  <w:footnote w:type="continuationNotice" w:id="1">
    <w:p w14:paraId="18E194F9" w14:textId="77777777" w:rsidR="00A3793C" w:rsidRDefault="00A3793C">
      <w:pPr>
        <w:spacing w:before="0" w:after="0"/>
      </w:pPr>
    </w:p>
  </w:footnote>
  <w:footnote w:id="2">
    <w:p w14:paraId="65BF8F8C" w14:textId="2092AAA5" w:rsidR="004875CD" w:rsidRPr="00F12C48" w:rsidRDefault="004875CD" w:rsidP="004875CD">
      <w:pPr>
        <w:pStyle w:val="Textpoznmkypodiarou"/>
      </w:pPr>
      <w:r w:rsidRPr="00F12C48">
        <w:rPr>
          <w:rStyle w:val="Odkaznapoznmkupodiarou"/>
        </w:rPr>
        <w:footnoteRef/>
      </w:r>
      <w:r w:rsidRPr="00F12C48">
        <w:tab/>
        <w:t>„</w:t>
      </w:r>
      <w:r w:rsidRPr="00F12C48">
        <w:rPr>
          <w:spacing w:val="-4"/>
        </w:rPr>
        <w:t>The future of European competitiveness“ (</w:t>
      </w:r>
      <w:r w:rsidRPr="00F12C48">
        <w:rPr>
          <w:i/>
          <w:spacing w:val="-4"/>
        </w:rPr>
        <w:t>Budúcnosť konkurencieschopnosti Európy</w:t>
      </w:r>
      <w:r w:rsidRPr="00F12C48">
        <w:rPr>
          <w:spacing w:val="-4"/>
        </w:rPr>
        <w:t>), september 2024</w:t>
      </w:r>
      <w:r w:rsidR="00F12C48" w:rsidRPr="00F12C48">
        <w:rPr>
          <w:spacing w:val="-4"/>
        </w:rPr>
        <w:t>.</w:t>
      </w:r>
    </w:p>
  </w:footnote>
  <w:footnote w:id="3">
    <w:p w14:paraId="00F2CD19" w14:textId="62ACE50E" w:rsidR="004875CD" w:rsidRPr="00F12C48" w:rsidRDefault="004875CD" w:rsidP="004875CD">
      <w:pPr>
        <w:pStyle w:val="Textpoznmkypodiarou"/>
      </w:pPr>
      <w:r w:rsidRPr="00F12C48">
        <w:rPr>
          <w:rStyle w:val="Odkaznapoznmkupodiarou"/>
        </w:rPr>
        <w:footnoteRef/>
      </w:r>
      <w:r w:rsidRPr="00F12C48">
        <w:tab/>
        <w:t>Vyhlásenie</w:t>
      </w:r>
      <w:r w:rsidR="00F12C48">
        <w:t xml:space="preserve"> z </w:t>
      </w:r>
      <w:r w:rsidRPr="00F12C48">
        <w:t>Budapešti</w:t>
      </w:r>
      <w:r w:rsidR="00F12C48">
        <w:t xml:space="preserve"> o </w:t>
      </w:r>
      <w:r w:rsidRPr="00F12C48">
        <w:t>novej dohode</w:t>
      </w:r>
      <w:r w:rsidR="00F12C48">
        <w:t xml:space="preserve"> o </w:t>
      </w:r>
      <w:r w:rsidRPr="00F12C48">
        <w:t>konkurencieschopnosti Európy, 8. november 2024</w:t>
      </w:r>
      <w:r w:rsidR="00F12C48">
        <w:t>.</w:t>
      </w:r>
    </w:p>
  </w:footnote>
  <w:footnote w:id="4">
    <w:p w14:paraId="7DB2E662" w14:textId="09BFDCB2" w:rsidR="004875CD" w:rsidRPr="00F12C48" w:rsidRDefault="004875CD" w:rsidP="004875CD">
      <w:pPr>
        <w:pStyle w:val="Textpoznmkypodiarou"/>
        <w:ind w:left="0" w:firstLine="0"/>
      </w:pPr>
      <w:r w:rsidRPr="00F12C48">
        <w:rPr>
          <w:rStyle w:val="Odkaznapoznmkupodiarou"/>
        </w:rPr>
        <w:footnoteRef/>
      </w:r>
      <w:r w:rsidRPr="00F12C48">
        <w:tab/>
        <w:t>Oznámenie Komisie Európskemu parlamentu, Európskej rade, Rade, Európskemu hospodárskemu</w:t>
      </w:r>
      <w:r w:rsidR="00F12C48">
        <w:t xml:space="preserve"> a </w:t>
      </w:r>
      <w:r w:rsidRPr="00F12C48">
        <w:t>sociálnemu výboru</w:t>
      </w:r>
      <w:r w:rsidR="00F12C48">
        <w:t xml:space="preserve"> a </w:t>
      </w:r>
      <w:r w:rsidRPr="00F12C48">
        <w:t>Výboru regiónov, COM(2025) 30 final: Kompas konkurencieschopnosti pre EÚ</w:t>
      </w:r>
      <w:r w:rsidR="00F12C48">
        <w:t>.</w:t>
      </w:r>
    </w:p>
  </w:footnote>
  <w:footnote w:id="5">
    <w:p w14:paraId="533D478B" w14:textId="7AF9AC28" w:rsidR="004875CD" w:rsidRPr="00F12C48" w:rsidRDefault="004875CD" w:rsidP="004875CD">
      <w:pPr>
        <w:pStyle w:val="Textpoznmkypodiarou"/>
        <w:ind w:left="0" w:firstLine="0"/>
      </w:pPr>
      <w:r w:rsidRPr="00F12C48">
        <w:rPr>
          <w:rStyle w:val="Odkaznapoznmkupodiarou"/>
        </w:rPr>
        <w:footnoteRef/>
      </w:r>
      <w:r w:rsidRPr="00F12C48">
        <w:tab/>
        <w:t>Oznámenie Komisie Európskemu parlamentu, Rade, Európskemu hospodárskemu</w:t>
      </w:r>
      <w:r w:rsidR="00F12C48">
        <w:t xml:space="preserve"> a </w:t>
      </w:r>
      <w:r w:rsidRPr="00F12C48">
        <w:t>sociálnemu výboru</w:t>
      </w:r>
      <w:r w:rsidR="00F12C48">
        <w:t xml:space="preserve"> a </w:t>
      </w:r>
      <w:r w:rsidRPr="00F12C48">
        <w:t>Výboru regiónov, COM(2025) 47 final: Jednoduchšia</w:t>
      </w:r>
      <w:r w:rsidR="00F12C48">
        <w:t xml:space="preserve"> a </w:t>
      </w:r>
      <w:r w:rsidRPr="00F12C48">
        <w:t>rýchlejšia Európa: oznámenie</w:t>
      </w:r>
      <w:r w:rsidR="00F12C48">
        <w:t xml:space="preserve"> o </w:t>
      </w:r>
      <w:r w:rsidRPr="00F12C48">
        <w:t>vykonávaní</w:t>
      </w:r>
      <w:r w:rsidR="00F12C48">
        <w:t xml:space="preserve"> a </w:t>
      </w:r>
      <w:r w:rsidRPr="00F12C48">
        <w:t>zjednodušení.</w:t>
      </w:r>
    </w:p>
  </w:footnote>
  <w:footnote w:id="6">
    <w:p w14:paraId="70EE944E" w14:textId="54F94D1D" w:rsidR="00A53DB0" w:rsidRPr="00F12C48" w:rsidRDefault="00A53DB0" w:rsidP="00A53DB0">
      <w:pPr>
        <w:pStyle w:val="Textpoznmkypodiarou"/>
        <w:ind w:left="0" w:firstLine="0"/>
      </w:pPr>
      <w:r w:rsidRPr="00F12C48">
        <w:rPr>
          <w:rStyle w:val="Odkaznapoznmkupodiarou"/>
        </w:rPr>
        <w:footnoteRef/>
      </w:r>
      <w:r w:rsidRPr="00F12C48">
        <w:tab/>
        <w:t>Smernica Európskeho parlamentu</w:t>
      </w:r>
      <w:r w:rsidR="00F12C48">
        <w:t xml:space="preserve"> a </w:t>
      </w:r>
      <w:r w:rsidRPr="00F12C48">
        <w:t>Rady (EÚ) 2022/2464 zo 14</w:t>
      </w:r>
      <w:r w:rsidR="00F12C48">
        <w:t>. decembra</w:t>
      </w:r>
      <w:r w:rsidRPr="00F12C48">
        <w:t xml:space="preserve"> 2022 (smernica</w:t>
      </w:r>
      <w:r w:rsidR="00F12C48">
        <w:t xml:space="preserve"> o </w:t>
      </w:r>
      <w:r w:rsidRPr="00F12C48">
        <w:t>vykazovaní informácií</w:t>
      </w:r>
      <w:r w:rsidR="00F12C48">
        <w:t xml:space="preserve"> o </w:t>
      </w:r>
      <w:r w:rsidRPr="00F12C48">
        <w:t>udržateľnosti podnikov).</w:t>
      </w:r>
    </w:p>
  </w:footnote>
  <w:footnote w:id="7">
    <w:p w14:paraId="0BBC7B5C" w14:textId="3634955C" w:rsidR="00A53DB0" w:rsidRPr="00F12C48" w:rsidRDefault="00A53DB0" w:rsidP="00A53DB0">
      <w:pPr>
        <w:pStyle w:val="Textpoznmkypodiarou"/>
        <w:ind w:left="0" w:firstLine="0"/>
      </w:pPr>
      <w:r w:rsidRPr="00F12C48">
        <w:rPr>
          <w:rStyle w:val="Odkaznapoznmkupodiarou"/>
        </w:rPr>
        <w:footnoteRef/>
      </w:r>
      <w:r w:rsidRPr="00F12C48">
        <w:tab/>
        <w:t>Smernica Európskeho parlamentu</w:t>
      </w:r>
      <w:r w:rsidR="00F12C48">
        <w:t xml:space="preserve"> a </w:t>
      </w:r>
      <w:r w:rsidRPr="00F12C48">
        <w:t>Rady 2013/34/EÚ</w:t>
      </w:r>
      <w:r w:rsidR="00F12C48">
        <w:t xml:space="preserve"> z </w:t>
      </w:r>
      <w:r w:rsidRPr="00F12C48">
        <w:t>26</w:t>
      </w:r>
      <w:r w:rsidR="00F12C48">
        <w:t>. júna</w:t>
      </w:r>
      <w:r w:rsidRPr="00F12C48">
        <w:t xml:space="preserve"> 2013 (smernica</w:t>
      </w:r>
      <w:r w:rsidR="00F12C48">
        <w:t xml:space="preserve"> o </w:t>
      </w:r>
      <w:r w:rsidRPr="00F12C48">
        <w:t>účtovníctve). Smernica Európskeho parlamentu</w:t>
      </w:r>
      <w:r w:rsidR="00F12C48">
        <w:t xml:space="preserve"> a </w:t>
      </w:r>
      <w:r w:rsidRPr="00F12C48">
        <w:t>Rady 2004/109/ES</w:t>
      </w:r>
      <w:r w:rsidR="00F12C48">
        <w:t xml:space="preserve"> z </w:t>
      </w:r>
      <w:r w:rsidRPr="00F12C48">
        <w:t>15</w:t>
      </w:r>
      <w:r w:rsidR="00F12C48">
        <w:t>. decembra</w:t>
      </w:r>
      <w:r w:rsidRPr="00F12C48">
        <w:t xml:space="preserve"> 2004 (smernica</w:t>
      </w:r>
      <w:r w:rsidR="00F12C48">
        <w:t xml:space="preserve"> o </w:t>
      </w:r>
      <w:r w:rsidRPr="00F12C48">
        <w:t>transparentnosti). Smernica Európskeho parlamentu</w:t>
      </w:r>
      <w:r w:rsidR="00F12C48">
        <w:t xml:space="preserve"> a </w:t>
      </w:r>
      <w:r w:rsidRPr="00F12C48">
        <w:t>Rady 2006/43/ES zo 17</w:t>
      </w:r>
      <w:r w:rsidR="00F12C48">
        <w:t>. mája</w:t>
      </w:r>
      <w:r w:rsidRPr="00F12C48">
        <w:t> 2006 (smernica</w:t>
      </w:r>
      <w:r w:rsidR="00F12C48">
        <w:t xml:space="preserve"> o </w:t>
      </w:r>
      <w:r w:rsidRPr="00F12C48">
        <w:t>audite). Nariadenie Európskeho parlamentu</w:t>
      </w:r>
      <w:r w:rsidR="00F12C48">
        <w:t xml:space="preserve"> a </w:t>
      </w:r>
      <w:r w:rsidRPr="00F12C48">
        <w:t>Rady (EÚ) č. 537/2014 zo 16</w:t>
      </w:r>
      <w:r w:rsidR="00F12C48">
        <w:t>. apríla</w:t>
      </w:r>
      <w:r w:rsidRPr="00F12C48">
        <w:t xml:space="preserve"> 2014 (nariadenie</w:t>
      </w:r>
      <w:r w:rsidR="00F12C48">
        <w:t xml:space="preserve"> o </w:t>
      </w:r>
      <w:r w:rsidRPr="00F12C48">
        <w:t>audite).</w:t>
      </w:r>
    </w:p>
  </w:footnote>
  <w:footnote w:id="8">
    <w:p w14:paraId="58D5382F" w14:textId="2B9C5496" w:rsidR="00A53DB0" w:rsidRPr="00F12C48" w:rsidRDefault="00A53DB0" w:rsidP="00A53DB0">
      <w:pPr>
        <w:pStyle w:val="Textpoznmkypodiarou"/>
        <w:ind w:left="0" w:firstLine="0"/>
      </w:pPr>
      <w:r w:rsidRPr="00F12C48">
        <w:rPr>
          <w:rStyle w:val="Odkaznapoznmkupodiarou"/>
        </w:rPr>
        <w:footnoteRef/>
      </w:r>
      <w:r w:rsidRPr="00F12C48">
        <w:tab/>
        <w:t>Oznámenie Komisie</w:t>
      </w:r>
      <w:r w:rsidR="00F12C48">
        <w:t xml:space="preserve"> s </w:t>
      </w:r>
      <w:r w:rsidRPr="00F12C48">
        <w:t>názvom „Európska zelená dohoda“ [COM(2019) 640 final].  Oznámenie Komisie</w:t>
      </w:r>
      <w:r w:rsidR="00F12C48">
        <w:t xml:space="preserve"> s </w:t>
      </w:r>
      <w:r w:rsidRPr="00F12C48">
        <w:t>názvom „Akčný plán: Financovanie udržateľného rastu“ [COM(2018) 097 final].</w:t>
      </w:r>
    </w:p>
  </w:footnote>
  <w:footnote w:id="9">
    <w:p w14:paraId="06D95305" w14:textId="6CF5318E" w:rsidR="00A53DB0" w:rsidRPr="00F12C48" w:rsidRDefault="00A53DB0" w:rsidP="008A6B8D">
      <w:pPr>
        <w:pStyle w:val="Textpoznmkypodiarou"/>
        <w:ind w:left="0" w:firstLine="0"/>
      </w:pPr>
      <w:r w:rsidRPr="00F12C48">
        <w:rPr>
          <w:rStyle w:val="Odkaznapoznmkupodiarou"/>
        </w:rPr>
        <w:footnoteRef/>
      </w:r>
      <w:r w:rsidRPr="00F12C48">
        <w:tab/>
        <w:t>Takisto aj subjekty verejného záujmu, ktoré sú materskými podnikmi veľkej skupiny</w:t>
      </w:r>
      <w:r w:rsidR="00F12C48">
        <w:t xml:space="preserve"> s </w:t>
      </w:r>
      <w:r w:rsidRPr="00F12C48">
        <w:t>viac než 500 zamestnancami, na účely konsolidovaného vykazovania informácií</w:t>
      </w:r>
      <w:r w:rsidR="00F12C48">
        <w:t xml:space="preserve"> o </w:t>
      </w:r>
      <w:r w:rsidRPr="00F12C48">
        <w:t>udržateľnosti. „Subjekty verejného záujmu“ sú vymedzené</w:t>
      </w:r>
      <w:r w:rsidR="00F12C48">
        <w:t xml:space="preserve"> v </w:t>
      </w:r>
      <w:r w:rsidRPr="00F12C48">
        <w:t>článku 2 bode 1 smernice</w:t>
      </w:r>
      <w:r w:rsidR="00F12C48">
        <w:t xml:space="preserve"> o </w:t>
      </w:r>
      <w:r w:rsidRPr="00F12C48">
        <w:t>účtovníctve ako podniky, ktoré: a) sa riadia právom členského štátu</w:t>
      </w:r>
      <w:r w:rsidR="00F12C48">
        <w:t xml:space="preserve"> a </w:t>
      </w:r>
      <w:r w:rsidRPr="00F12C48">
        <w:t>ktorých prevoditeľné cenné papiere sú prijaté na obchodovanie na regulovanom trhu EÚ; b) sú úverovými inštitúciami; c) sú poisťovňami; alebo d) určili členské štáty ako subjekty verejného záujmu. „Veľké podniky“ sú vymedzené</w:t>
      </w:r>
      <w:r w:rsidR="00F12C48">
        <w:t xml:space="preserve"> v </w:t>
      </w:r>
      <w:r w:rsidRPr="00F12C48">
        <w:t>článku 3 ods. 4 smernice</w:t>
      </w:r>
      <w:r w:rsidR="00F12C48">
        <w:t xml:space="preserve"> o </w:t>
      </w:r>
      <w:r w:rsidRPr="00F12C48">
        <w:t>účtovníctve ako podniky, ktoré ku dňu, ku ktorému sa zostavuje ich účtovná závierka, prekročia aspoň dve</w:t>
      </w:r>
      <w:r w:rsidR="00F12C48">
        <w:t xml:space="preserve"> z </w:t>
      </w:r>
      <w:r w:rsidRPr="00F12C48">
        <w:t>týchto troch kritérií: a) celková bilančná suma: 25 000 000 EUR; b) čistý obrat: 50 000 000 EUR; c) priemerný počet zamestnancov počas účtovného roka: 250.</w:t>
      </w:r>
    </w:p>
  </w:footnote>
  <w:footnote w:id="10">
    <w:p w14:paraId="5A52A887" w14:textId="7D9A6EA7" w:rsidR="0079497B" w:rsidRPr="00F12C48" w:rsidRDefault="0079497B">
      <w:pPr>
        <w:pStyle w:val="Textpoznmkypodiarou"/>
      </w:pPr>
      <w:r w:rsidRPr="00F12C48">
        <w:rPr>
          <w:rStyle w:val="Odkaznapoznmkupodiarou"/>
        </w:rPr>
        <w:footnoteRef/>
      </w:r>
      <w:r w:rsidRPr="00F12C48">
        <w:tab/>
        <w:t>Ako aj ostatné materské podniky veľkých skupín na účely konsolidovaného vykazovania informácií</w:t>
      </w:r>
      <w:r w:rsidR="00F12C48">
        <w:t xml:space="preserve"> o </w:t>
      </w:r>
      <w:r w:rsidRPr="00F12C48">
        <w:t>udržateľnosti.</w:t>
      </w:r>
    </w:p>
  </w:footnote>
  <w:footnote w:id="11">
    <w:p w14:paraId="30182859" w14:textId="5279AA11" w:rsidR="00691CEA" w:rsidRPr="00F12C48" w:rsidRDefault="00691CEA" w:rsidP="00691CEA">
      <w:pPr>
        <w:pStyle w:val="Textpoznmkypodiarou"/>
        <w:ind w:left="0" w:firstLine="0"/>
      </w:pPr>
      <w:r w:rsidRPr="00F12C48">
        <w:rPr>
          <w:rStyle w:val="Odkaznapoznmkupodiarou"/>
        </w:rPr>
        <w:footnoteRef/>
      </w:r>
      <w:r w:rsidRPr="00F12C48">
        <w:tab/>
        <w:t>Súčasťou tretej vlny sú aj malé</w:t>
      </w:r>
      <w:r w:rsidR="00F12C48">
        <w:t xml:space="preserve"> a </w:t>
      </w:r>
      <w:r w:rsidRPr="00F12C48">
        <w:t>menej zložité úverové inštitúcie</w:t>
      </w:r>
      <w:r w:rsidR="00F12C48">
        <w:t xml:space="preserve"> a </w:t>
      </w:r>
      <w:r w:rsidRPr="00F12C48">
        <w:t>kaptívne poisťovne</w:t>
      </w:r>
      <w:r w:rsidR="00F12C48">
        <w:t xml:space="preserve"> a </w:t>
      </w:r>
      <w:r w:rsidRPr="00F12C48">
        <w:t>zaisťovne, hoci tieto môžu využiť dodatočnú dvojročnú výnimku len vtedy, ak sú kótovanými MSP.</w:t>
      </w:r>
    </w:p>
  </w:footnote>
  <w:footnote w:id="12">
    <w:p w14:paraId="29D0A7FD" w14:textId="4C3574C4" w:rsidR="001E0B9F" w:rsidRPr="00F12C48" w:rsidRDefault="001E0B9F" w:rsidP="001E0B9F">
      <w:pPr>
        <w:pStyle w:val="Textpoznmkypodiarou"/>
        <w:ind w:left="0" w:firstLine="0"/>
      </w:pPr>
      <w:r w:rsidRPr="00F12C48">
        <w:rPr>
          <w:rStyle w:val="Odkaznapoznmkupodiarou"/>
        </w:rPr>
        <w:footnoteRef/>
      </w:r>
      <w:r w:rsidRPr="00F12C48">
        <w:tab/>
        <w:t>Podľa článku 40a smernice</w:t>
      </w:r>
      <w:r w:rsidR="00F12C48">
        <w:t xml:space="preserve"> o </w:t>
      </w:r>
      <w:r w:rsidRPr="00F12C48">
        <w:t>účtovníctve, zmenenej smernicou CSRD, musí podnik, ktorý nie je usadený</w:t>
      </w:r>
      <w:r w:rsidR="00F12C48">
        <w:t xml:space="preserve"> v </w:t>
      </w:r>
      <w:r w:rsidRPr="00F12C48">
        <w:t>EÚ, vykazovať informácie</w:t>
      </w:r>
      <w:r w:rsidR="00F12C48">
        <w:t xml:space="preserve"> o </w:t>
      </w:r>
      <w:r w:rsidRPr="00F12C48">
        <w:t>udržateľnosti na úrovni skupiny, ak a) dosiahol čistý obrat</w:t>
      </w:r>
      <w:r w:rsidR="00F12C48">
        <w:t xml:space="preserve"> v </w:t>
      </w:r>
      <w:r w:rsidRPr="00F12C48">
        <w:t>Únii vo výške viac než 150 miliónov EUR</w:t>
      </w:r>
      <w:r w:rsidR="00F12C48">
        <w:t xml:space="preserve"> a </w:t>
      </w:r>
      <w:r w:rsidRPr="00F12C48">
        <w:t>b) má buď dcérsku spoločnosť</w:t>
      </w:r>
      <w:r w:rsidR="00F12C48">
        <w:t xml:space="preserve"> v </w:t>
      </w:r>
      <w:r w:rsidRPr="00F12C48">
        <w:t>EÚ, na ktorú sa vzťahujú požiadavky na vykazovanie informácií</w:t>
      </w:r>
      <w:r w:rsidR="00F12C48">
        <w:t xml:space="preserve"> o </w:t>
      </w:r>
      <w:r w:rsidRPr="00F12C48">
        <w:t>udržateľnosti zavedené smernicou CSRD, alebo má pobočku</w:t>
      </w:r>
      <w:r w:rsidR="00F12C48">
        <w:t xml:space="preserve"> v </w:t>
      </w:r>
      <w:r w:rsidRPr="00F12C48">
        <w:t>EÚ, ktorá dosiahla čistý obrat vo výške viac než 40 miliónov EUR.</w:t>
      </w:r>
      <w:r w:rsidR="00F12C48">
        <w:t xml:space="preserve"> V </w:t>
      </w:r>
      <w:r w:rsidRPr="00F12C48">
        <w:t>tomto prípade má právnu povinnosť uverejniť správu dcérska spoločnosť alebo pobočka</w:t>
      </w:r>
      <w:r w:rsidR="00F12C48">
        <w:t xml:space="preserve"> v </w:t>
      </w:r>
      <w:r w:rsidRPr="00F12C48">
        <w:t>EÚ.</w:t>
      </w:r>
    </w:p>
  </w:footnote>
  <w:footnote w:id="13">
    <w:p w14:paraId="44C95D97" w14:textId="2728D7E8" w:rsidR="00A53DB0" w:rsidRPr="00F12C48" w:rsidRDefault="00A53DB0" w:rsidP="00A53DB0">
      <w:pPr>
        <w:pStyle w:val="Textpoznmkypodiarou"/>
        <w:ind w:left="0" w:firstLine="0"/>
      </w:pPr>
      <w:r w:rsidRPr="00F12C48">
        <w:rPr>
          <w:rStyle w:val="Odkaznapoznmkupodiarou"/>
        </w:rPr>
        <w:footnoteRef/>
      </w:r>
      <w:r w:rsidRPr="00F12C48">
        <w:tab/>
        <w:t>Delegované nariadenie Komisie (EÚ) 2023/2772</w:t>
      </w:r>
      <w:r w:rsidR="00F12C48">
        <w:t xml:space="preserve"> z </w:t>
      </w:r>
      <w:r w:rsidRPr="00F12C48">
        <w:t>31</w:t>
      </w:r>
      <w:r w:rsidR="00F12C48">
        <w:t>. júla</w:t>
      </w:r>
      <w:r w:rsidRPr="00F12C48">
        <w:t xml:space="preserve"> 2023, ktorým sa dopĺňa smernica Európskeho parlamentu</w:t>
      </w:r>
      <w:r w:rsidR="00F12C48">
        <w:t xml:space="preserve"> a </w:t>
      </w:r>
      <w:r w:rsidRPr="00F12C48">
        <w:t>Rady 2013/34/EÚ, pokiaľ ide</w:t>
      </w:r>
      <w:r w:rsidR="00F12C48">
        <w:t xml:space="preserve"> o </w:t>
      </w:r>
      <w:r w:rsidRPr="00F12C48">
        <w:t>štandardy vykazovania informácií</w:t>
      </w:r>
      <w:r w:rsidR="00F12C48">
        <w:t xml:space="preserve"> o </w:t>
      </w:r>
      <w:r w:rsidRPr="00F12C48">
        <w:t>udržateľnosti.</w:t>
      </w:r>
    </w:p>
  </w:footnote>
  <w:footnote w:id="14">
    <w:p w14:paraId="7C184B09" w14:textId="0878F8CD" w:rsidR="00A53DB0" w:rsidRPr="00F12C48" w:rsidRDefault="00A53DB0" w:rsidP="00A53DB0">
      <w:pPr>
        <w:pStyle w:val="Textpoznmkypodiarou"/>
        <w:ind w:left="0" w:firstLine="0"/>
      </w:pPr>
      <w:r w:rsidRPr="00F12C48">
        <w:rPr>
          <w:rStyle w:val="Odkaznapoznmkupodiarou"/>
        </w:rPr>
        <w:footnoteRef/>
      </w:r>
      <w:r w:rsidRPr="00F12C48">
        <w:tab/>
        <w:t>Skupina EFRAG sa predtým nazývala Európska poradná skupina pre finančné výkazníctvo, no jej oficiálny názov je</w:t>
      </w:r>
      <w:r w:rsidR="00F12C48">
        <w:t xml:space="preserve"> v </w:t>
      </w:r>
      <w:r w:rsidRPr="00F12C48">
        <w:t>súčasnosti len EFRAG. Ide</w:t>
      </w:r>
      <w:r w:rsidR="00F12C48">
        <w:t xml:space="preserve"> o </w:t>
      </w:r>
      <w:r w:rsidRPr="00F12C48">
        <w:t>nezávislý súkromný orgán zložený</w:t>
      </w:r>
      <w:r w:rsidR="00F12C48">
        <w:t xml:space="preserve"> z </w:t>
      </w:r>
      <w:r w:rsidRPr="00F12C48">
        <w:t>viacerých zainteresovaných strán, ktorý je väčšinovo financovaný</w:t>
      </w:r>
      <w:r w:rsidR="00F12C48">
        <w:t xml:space="preserve"> z </w:t>
      </w:r>
      <w:r w:rsidRPr="00F12C48">
        <w:t>prostriedkov EÚ.</w:t>
      </w:r>
    </w:p>
  </w:footnote>
  <w:footnote w:id="15">
    <w:p w14:paraId="4B0388A9" w14:textId="27485B7D" w:rsidR="00A53DB0" w:rsidRPr="00F12C48" w:rsidRDefault="00A53DB0" w:rsidP="00DF33E8">
      <w:pPr>
        <w:pStyle w:val="Textpoznmkypodiarou"/>
        <w:ind w:left="0" w:firstLine="0"/>
      </w:pPr>
      <w:r w:rsidRPr="00F12C48">
        <w:rPr>
          <w:rStyle w:val="Odkaznapoznmkupodiarou"/>
        </w:rPr>
        <w:footnoteRef/>
      </w:r>
      <w:r w:rsidRPr="00F12C48">
        <w:tab/>
        <w:t>Objem práce</w:t>
      </w:r>
      <w:r w:rsidR="00F12C48">
        <w:t xml:space="preserve"> v </w:t>
      </w:r>
      <w:r w:rsidRPr="00F12C48">
        <w:t>prípade zákazky na limitované uistenie je výrazne nižší než pri zákazke na primerané uistenie. Záver zákazky na limitované uistenie sa zvyčajne poskytuje negatívnou formou vyjadrenia, pričom sa</w:t>
      </w:r>
      <w:r w:rsidR="00F12C48">
        <w:t xml:space="preserve"> v </w:t>
      </w:r>
      <w:r w:rsidRPr="00F12C48">
        <w:t>ňom uvádza, že poskytovateľ uistenia nezistil žiadnu skutočnosť,</w:t>
      </w:r>
      <w:r w:rsidR="00F12C48">
        <w:t xml:space="preserve"> v </w:t>
      </w:r>
      <w:r w:rsidRPr="00F12C48">
        <w:t>dôsledku ktorej by dospel</w:t>
      </w:r>
      <w:r w:rsidR="00F12C48">
        <w:t xml:space="preserve"> k </w:t>
      </w:r>
      <w:r w:rsidRPr="00F12C48">
        <w:t>záveru, že predmet zákazky je významne nesprávny. Záver zákazky na primerané uistenie sa zvyčajne poskytuje pozitívnou formou vyjadrenia</w:t>
      </w:r>
      <w:r w:rsidR="00F12C48">
        <w:t xml:space="preserve"> a </w:t>
      </w:r>
      <w:r w:rsidRPr="00F12C48">
        <w:t>výsledkom je poskytnutie názoru na hodnotenie predmetu zákazky podľa vopred vymedzených kritérií.</w:t>
      </w:r>
    </w:p>
  </w:footnote>
  <w:footnote w:id="16">
    <w:p w14:paraId="619EA6EA" w14:textId="5BC32DA0" w:rsidR="00C37F8F" w:rsidRPr="00F12C48" w:rsidRDefault="00C37F8F" w:rsidP="00C37F8F">
      <w:pPr>
        <w:pStyle w:val="Textpoznmkypodiarou"/>
        <w:ind w:left="0" w:firstLine="0"/>
      </w:pPr>
      <w:r w:rsidRPr="00F12C48">
        <w:rPr>
          <w:rStyle w:val="Odkaznapoznmkupodiarou"/>
        </w:rPr>
        <w:footnoteRef/>
      </w:r>
      <w:r w:rsidRPr="00F12C48">
        <w:tab/>
        <w:t>Okrem toho</w:t>
      </w:r>
      <w:r w:rsidR="00F12C48">
        <w:t xml:space="preserve"> a z </w:t>
      </w:r>
      <w:r w:rsidRPr="00F12C48">
        <w:t>dôvodu konzistentnosti by sa</w:t>
      </w:r>
      <w:r w:rsidR="00F12C48">
        <w:t xml:space="preserve"> v </w:t>
      </w:r>
      <w:r w:rsidRPr="00F12C48">
        <w:t>článku 40a smernice</w:t>
      </w:r>
      <w:r w:rsidR="00F12C48">
        <w:t xml:space="preserve"> o </w:t>
      </w:r>
      <w:r w:rsidRPr="00F12C48">
        <w:t>účtovníctve prahová hodnota čistého obratu pre podnik, ktorý nie je usadený</w:t>
      </w:r>
      <w:r w:rsidR="00F12C48">
        <w:t xml:space="preserve"> v </w:t>
      </w:r>
      <w:r w:rsidRPr="00F12C48">
        <w:t>EÚ</w:t>
      </w:r>
      <w:r w:rsidR="00F12C48">
        <w:t xml:space="preserve"> a </w:t>
      </w:r>
      <w:r w:rsidRPr="00F12C48">
        <w:t>na ktorý sa vzťahujú požiadavky na vykazovanie na úrovni skupiny, zvýšila zo 150 miliónov EUR dosiahnutých</w:t>
      </w:r>
      <w:r w:rsidR="00F12C48">
        <w:t xml:space="preserve"> v </w:t>
      </w:r>
      <w:r w:rsidRPr="00F12C48">
        <w:t>Únii na 450 miliónov EUR.</w:t>
      </w:r>
      <w:r w:rsidR="00F12C48">
        <w:t xml:space="preserve"> Z </w:t>
      </w:r>
      <w:r w:rsidRPr="00F12C48">
        <w:t>dôvodu konzistentnosti sa ďalej prahová hodnota pre pobočku</w:t>
      </w:r>
      <w:r w:rsidR="00F12C48">
        <w:t xml:space="preserve"> v </w:t>
      </w:r>
      <w:r w:rsidRPr="00F12C48">
        <w:t>EÚ podľa článku 40a zvyšuje zo 40 miliónov EUR na 50 miliónov EUR</w:t>
      </w:r>
      <w:r w:rsidR="00F12C48">
        <w:t xml:space="preserve"> a </w:t>
      </w:r>
      <w:r w:rsidRPr="00F12C48">
        <w:t>prahová hodnota pre dcérsku spoločnosť</w:t>
      </w:r>
      <w:r w:rsidR="00F12C48">
        <w:t xml:space="preserve"> v </w:t>
      </w:r>
      <w:r w:rsidRPr="00F12C48">
        <w:t>EÚ sa obmedzuje na veľké podniky</w:t>
      </w:r>
      <w:r w:rsidR="00F12C48">
        <w:t xml:space="preserve"> v </w:t>
      </w:r>
      <w:r w:rsidRPr="00F12C48">
        <w:t>zmysle vymedzenia</w:t>
      </w:r>
      <w:r w:rsidR="00F12C48">
        <w:t xml:space="preserve"> v </w:t>
      </w:r>
      <w:r w:rsidRPr="00F12C48">
        <w:t>smernici</w:t>
      </w:r>
      <w:r w:rsidR="00F12C48">
        <w:t xml:space="preserve"> o </w:t>
      </w:r>
      <w:r w:rsidRPr="00F12C48">
        <w:t>účtovníctve. Kľúčové prahové hodnoty smernice CSDDD sú 1 000 zamestnancov</w:t>
      </w:r>
      <w:r w:rsidR="00F12C48">
        <w:t xml:space="preserve"> a </w:t>
      </w:r>
      <w:r w:rsidRPr="00F12C48">
        <w:t>obrat 450 miliónov EUR.</w:t>
      </w:r>
    </w:p>
  </w:footnote>
  <w:footnote w:id="17">
    <w:p w14:paraId="1E7651F3" w14:textId="40918FA2" w:rsidR="00A957BF" w:rsidRPr="00F12C48" w:rsidRDefault="00A957BF" w:rsidP="00DD2BEC">
      <w:pPr>
        <w:pStyle w:val="Textpoznmkypodiarou"/>
        <w:ind w:left="0" w:firstLine="0"/>
      </w:pPr>
      <w:r w:rsidRPr="00F12C48">
        <w:rPr>
          <w:rStyle w:val="Odkaznapoznmkupodiarou"/>
        </w:rPr>
        <w:footnoteRef/>
      </w:r>
      <w:r w:rsidRPr="00F12C48">
        <w:tab/>
        <w:t>Ako aj podniky, ktoré nie sú subjektmi verejného záujmu</w:t>
      </w:r>
      <w:r w:rsidR="00F12C48">
        <w:t xml:space="preserve"> a </w:t>
      </w:r>
      <w:r w:rsidRPr="00F12C48">
        <w:t>ktoré sú materským podnikom veľkých skupín</w:t>
      </w:r>
      <w:r w:rsidR="00F12C48">
        <w:t xml:space="preserve"> s </w:t>
      </w:r>
      <w:r w:rsidRPr="00F12C48">
        <w:t>viac než 500 zamestnancami,</w:t>
      </w:r>
      <w:r w:rsidR="00F12C48">
        <w:t xml:space="preserve"> a </w:t>
      </w:r>
      <w:r w:rsidRPr="00F12C48">
        <w:t>podniky, ktoré sú materskými podnikmi veľkých skupín</w:t>
      </w:r>
      <w:r w:rsidR="00F12C48">
        <w:t xml:space="preserve"> s </w:t>
      </w:r>
      <w:r w:rsidRPr="00F12C48">
        <w:t>menej než 500 zamestnancami.</w:t>
      </w:r>
    </w:p>
  </w:footnote>
  <w:footnote w:id="18">
    <w:p w14:paraId="3C32A32E" w14:textId="7154B1A2" w:rsidR="001275AC" w:rsidRPr="00F12C48" w:rsidRDefault="001275AC" w:rsidP="00634F0B">
      <w:pPr>
        <w:pStyle w:val="Textpoznmkypodiarou"/>
        <w:ind w:left="0" w:firstLine="0"/>
      </w:pPr>
      <w:r w:rsidRPr="00F12C48">
        <w:rPr>
          <w:rStyle w:val="Odkaznapoznmkupodiarou"/>
        </w:rPr>
        <w:footnoteRef/>
      </w:r>
      <w:r w:rsidRPr="00F12C48">
        <w:tab/>
      </w:r>
      <w:r w:rsidRPr="00F12C48">
        <w:rPr>
          <w:rStyle w:val="normaltextrun"/>
          <w:color w:val="000000"/>
          <w:shd w:val="clear" w:color="auto" w:fill="FFFFFF"/>
        </w:rPr>
        <w:t>Od 17</w:t>
      </w:r>
      <w:r w:rsidR="00F12C48">
        <w:rPr>
          <w:rStyle w:val="normaltextrun"/>
          <w:color w:val="000000"/>
          <w:shd w:val="clear" w:color="auto" w:fill="FFFFFF"/>
        </w:rPr>
        <w:t>. októbra</w:t>
      </w:r>
      <w:r w:rsidRPr="00F12C48">
        <w:rPr>
          <w:rStyle w:val="normaltextrun"/>
          <w:color w:val="000000"/>
          <w:shd w:val="clear" w:color="auto" w:fill="FFFFFF"/>
        </w:rPr>
        <w:t xml:space="preserve"> do 1</w:t>
      </w:r>
      <w:r w:rsidR="00F12C48">
        <w:rPr>
          <w:rStyle w:val="normaltextrun"/>
          <w:color w:val="000000"/>
          <w:shd w:val="clear" w:color="auto" w:fill="FFFFFF"/>
        </w:rPr>
        <w:t>. decembra</w:t>
      </w:r>
      <w:r w:rsidRPr="00F12C48">
        <w:rPr>
          <w:rStyle w:val="normaltextrun"/>
          <w:color w:val="000000"/>
          <w:shd w:val="clear" w:color="auto" w:fill="FFFFFF"/>
        </w:rPr>
        <w:t xml:space="preserve"> 2023 Komisia získala spätnú väzbu od 193 zainteresovaných strán</w:t>
      </w:r>
      <w:r w:rsidR="00F12C48">
        <w:rPr>
          <w:rStyle w:val="normaltextrun"/>
          <w:color w:val="000000"/>
          <w:shd w:val="clear" w:color="auto" w:fill="FFFFFF"/>
        </w:rPr>
        <w:t xml:space="preserve"> o </w:t>
      </w:r>
      <w:r w:rsidRPr="00F12C48">
        <w:rPr>
          <w:rStyle w:val="normaltextrun"/>
          <w:color w:val="000000"/>
          <w:shd w:val="clear" w:color="auto" w:fill="FFFFFF"/>
        </w:rPr>
        <w:t>možných racionalizačných opatreniach pre požiadavky na vykazovanie. Hlavnými prispievateľmi boli záujmové združenia (84), spoločnosti (35), po ktorých nasledovali verejné orgány (23)</w:t>
      </w:r>
      <w:r w:rsidR="00F12C48">
        <w:rPr>
          <w:rStyle w:val="normaltextrun"/>
          <w:color w:val="000000"/>
          <w:shd w:val="clear" w:color="auto" w:fill="FFFFFF"/>
        </w:rPr>
        <w:t xml:space="preserve"> a </w:t>
      </w:r>
      <w:r w:rsidRPr="00F12C48">
        <w:rPr>
          <w:rStyle w:val="normaltextrun"/>
          <w:color w:val="000000"/>
          <w:shd w:val="clear" w:color="auto" w:fill="FFFFFF"/>
        </w:rPr>
        <w:t>mimovládne organizácie (18). Pokiaľ ide</w:t>
      </w:r>
      <w:r w:rsidR="00F12C48">
        <w:rPr>
          <w:rStyle w:val="normaltextrun"/>
          <w:color w:val="000000"/>
          <w:shd w:val="clear" w:color="auto" w:fill="FFFFFF"/>
        </w:rPr>
        <w:t xml:space="preserve"> o </w:t>
      </w:r>
      <w:r w:rsidRPr="00F12C48">
        <w:rPr>
          <w:rStyle w:val="normaltextrun"/>
          <w:color w:val="000000"/>
          <w:shd w:val="clear" w:color="auto" w:fill="FFFFFF"/>
        </w:rPr>
        <w:t>geografické pokrytie, zainteresované strany pochádzali najmä</w:t>
      </w:r>
      <w:r w:rsidR="00F12C48">
        <w:rPr>
          <w:rStyle w:val="normaltextrun"/>
          <w:color w:val="000000"/>
          <w:shd w:val="clear" w:color="auto" w:fill="FFFFFF"/>
        </w:rPr>
        <w:t xml:space="preserve"> z </w:t>
      </w:r>
      <w:r w:rsidRPr="00F12C48">
        <w:rPr>
          <w:rStyle w:val="normaltextrun"/>
          <w:color w:val="000000"/>
          <w:shd w:val="clear" w:color="auto" w:fill="FFFFFF"/>
        </w:rPr>
        <w:t>Nemecka (53), Belgicka (47), Francúzska (7), Litvy (8), Holandska (6), Talianska (5)</w:t>
      </w:r>
      <w:r w:rsidR="00F12C48">
        <w:rPr>
          <w:rStyle w:val="normaltextrun"/>
          <w:color w:val="000000"/>
          <w:shd w:val="clear" w:color="auto" w:fill="FFFFFF"/>
        </w:rPr>
        <w:t xml:space="preserve"> a </w:t>
      </w:r>
      <w:r w:rsidRPr="00F12C48">
        <w:rPr>
          <w:rStyle w:val="normaltextrun"/>
          <w:color w:val="000000"/>
          <w:shd w:val="clear" w:color="auto" w:fill="FFFFFF"/>
        </w:rPr>
        <w:t>Rakúska (4).</w:t>
      </w:r>
      <w:r w:rsidR="00F12C48">
        <w:rPr>
          <w:rStyle w:val="normaltextrun"/>
          <w:color w:val="000000"/>
          <w:shd w:val="clear" w:color="auto" w:fill="FFFFFF"/>
        </w:rPr>
        <w:t xml:space="preserve"> V </w:t>
      </w:r>
      <w:r w:rsidRPr="00F12C48">
        <w:rPr>
          <w:rStyle w:val="normaltextrun"/>
          <w:color w:val="000000"/>
          <w:shd w:val="clear" w:color="auto" w:fill="FFFFFF"/>
        </w:rPr>
        <w:t>rámci spätnej väzby sa požadovalo aj využívanie digitalizácie</w:t>
      </w:r>
      <w:r w:rsidR="00F12C48">
        <w:rPr>
          <w:rStyle w:val="normaltextrun"/>
          <w:color w:val="000000"/>
          <w:shd w:val="clear" w:color="auto" w:fill="FFFFFF"/>
        </w:rPr>
        <w:t xml:space="preserve"> a </w:t>
      </w:r>
      <w:r w:rsidRPr="00F12C48">
        <w:rPr>
          <w:rStyle w:val="normaltextrun"/>
          <w:color w:val="000000"/>
          <w:shd w:val="clear" w:color="auto" w:fill="FFFFFF"/>
        </w:rPr>
        <w:t>plynulejších tokov údajov, opakované použitie údajov</w:t>
      </w:r>
      <w:r w:rsidR="00F12C48">
        <w:rPr>
          <w:rStyle w:val="normaltextrun"/>
          <w:color w:val="000000"/>
          <w:shd w:val="clear" w:color="auto" w:fill="FFFFFF"/>
        </w:rPr>
        <w:t xml:space="preserve"> a </w:t>
      </w:r>
      <w:r w:rsidRPr="00F12C48">
        <w:rPr>
          <w:rStyle w:val="normaltextrun"/>
          <w:color w:val="000000"/>
          <w:shd w:val="clear" w:color="auto" w:fill="FFFFFF"/>
        </w:rPr>
        <w:t>štandardov, dostupnosť jasných</w:t>
      </w:r>
      <w:r w:rsidR="00F12C48">
        <w:rPr>
          <w:rStyle w:val="normaltextrun"/>
          <w:color w:val="000000"/>
          <w:shd w:val="clear" w:color="auto" w:fill="FFFFFF"/>
        </w:rPr>
        <w:t xml:space="preserve"> a </w:t>
      </w:r>
      <w:r w:rsidRPr="00F12C48">
        <w:rPr>
          <w:rStyle w:val="normaltextrun"/>
          <w:color w:val="000000"/>
          <w:shd w:val="clear" w:color="auto" w:fill="FFFFFF"/>
        </w:rPr>
        <w:t>včasných usmernení</w:t>
      </w:r>
      <w:r w:rsidR="00F12C48">
        <w:rPr>
          <w:rStyle w:val="normaltextrun"/>
          <w:color w:val="000000"/>
          <w:shd w:val="clear" w:color="auto" w:fill="FFFFFF"/>
        </w:rPr>
        <w:t xml:space="preserve"> a </w:t>
      </w:r>
      <w:r w:rsidRPr="00F12C48">
        <w:rPr>
          <w:rStyle w:val="normaltextrun"/>
          <w:color w:val="000000"/>
          <w:shd w:val="clear" w:color="auto" w:fill="FFFFFF"/>
        </w:rPr>
        <w:t>odstránenie prekrývania</w:t>
      </w:r>
      <w:r w:rsidR="00F12C48">
        <w:rPr>
          <w:rStyle w:val="normaltextrun"/>
          <w:color w:val="000000"/>
          <w:shd w:val="clear" w:color="auto" w:fill="FFFFFF"/>
        </w:rPr>
        <w:t xml:space="preserve"> a </w:t>
      </w:r>
      <w:r w:rsidRPr="00F12C48">
        <w:rPr>
          <w:rStyle w:val="normaltextrun"/>
          <w:color w:val="000000"/>
          <w:shd w:val="clear" w:color="auto" w:fill="FFFFFF"/>
        </w:rPr>
        <w:t>nezrovnalostí</w:t>
      </w:r>
      <w:r w:rsidR="00F12C48">
        <w:rPr>
          <w:rStyle w:val="normaltextrun"/>
          <w:color w:val="000000"/>
          <w:shd w:val="clear" w:color="auto" w:fill="FFFFFF"/>
        </w:rPr>
        <w:t xml:space="preserve"> v </w:t>
      </w:r>
      <w:r w:rsidRPr="00F12C48">
        <w:rPr>
          <w:rStyle w:val="normaltextrun"/>
          <w:color w:val="000000"/>
          <w:shd w:val="clear" w:color="auto" w:fill="FFFFFF"/>
        </w:rPr>
        <w:t>právnych predpisoch. </w:t>
      </w:r>
      <w:r w:rsidRPr="00F12C48">
        <w:rPr>
          <w:rStyle w:val="normaltextrun"/>
          <w:rFonts w:ascii="Aptos" w:hAnsi="Aptos"/>
          <w:color w:val="000000"/>
          <w:shd w:val="clear" w:color="auto" w:fill="FFFFFF"/>
        </w:rPr>
        <w:t xml:space="preserve"> </w:t>
      </w:r>
      <w:hyperlink r:id="rId1" w:tgtFrame="_blank" w:history="1">
        <w:r w:rsidRPr="00F12C48">
          <w:rPr>
            <w:rStyle w:val="normaltextrun"/>
            <w:color w:val="467886"/>
            <w:u w:val="single"/>
            <w:shd w:val="clear" w:color="auto" w:fill="FFFFFF"/>
          </w:rPr>
          <w:t>https://ec.europa.eu/info/law/better-regulation/have-your-say/initiatives/13990-Administrativna-zataz-racionalizacia-poziadaviek-v-oblasti-vykazovania_sk</w:t>
        </w:r>
      </w:hyperlink>
    </w:p>
  </w:footnote>
  <w:footnote w:id="19">
    <w:p w14:paraId="7DAAF59F" w14:textId="77777777" w:rsidR="006C7F87" w:rsidRPr="00F12C48" w:rsidRDefault="006C7F87" w:rsidP="0094068A">
      <w:pPr>
        <w:pStyle w:val="Textpoznmkypodiarou"/>
      </w:pPr>
      <w:r w:rsidRPr="00F12C48">
        <w:rPr>
          <w:rStyle w:val="Odkaznapoznmkupodiarou"/>
        </w:rPr>
        <w:footnoteRef/>
      </w:r>
      <w:r w:rsidRPr="00F12C48">
        <w:tab/>
        <w:t>Ú. v. EÚ C […], […], s. […].</w:t>
      </w:r>
    </w:p>
  </w:footnote>
  <w:footnote w:id="20">
    <w:p w14:paraId="229DD3C4" w14:textId="292E9397" w:rsidR="00F06FCD" w:rsidRPr="00F12C48" w:rsidRDefault="00F06FCD">
      <w:pPr>
        <w:pStyle w:val="Textpoznmkypodiarou"/>
      </w:pPr>
      <w:r w:rsidRPr="00F12C48">
        <w:rPr>
          <w:rStyle w:val="Odkaznapoznmkupodiarou"/>
        </w:rPr>
        <w:footnoteRef/>
      </w:r>
      <w:r w:rsidRPr="00F12C48">
        <w:tab/>
        <w:t>Oznámenie Komisie Európskemu parlamentu, Rade, Európskemu hospodárskemu</w:t>
      </w:r>
      <w:r w:rsidR="00F12C48">
        <w:t xml:space="preserve"> a </w:t>
      </w:r>
      <w:r w:rsidRPr="00F12C48">
        <w:t>sociálnemu výboru</w:t>
      </w:r>
      <w:r w:rsidR="00F12C48">
        <w:t xml:space="preserve"> a </w:t>
      </w:r>
      <w:r w:rsidRPr="00F12C48">
        <w:t>Výboru regiónov</w:t>
      </w:r>
      <w:r w:rsidR="00F12C48">
        <w:t xml:space="preserve"> z </w:t>
      </w:r>
      <w:r w:rsidRPr="00F12C48">
        <w:t>11</w:t>
      </w:r>
      <w:r w:rsidR="00F12C48">
        <w:t>. februára</w:t>
      </w:r>
      <w:r w:rsidRPr="00F12C48">
        <w:t xml:space="preserve"> 2025</w:t>
      </w:r>
      <w:r w:rsidR="00F12C48">
        <w:t xml:space="preserve"> s </w:t>
      </w:r>
      <w:r w:rsidRPr="00F12C48">
        <w:t>názvom „Jednoduchšia</w:t>
      </w:r>
      <w:r w:rsidR="00F12C48">
        <w:t xml:space="preserve"> a </w:t>
      </w:r>
      <w:r w:rsidRPr="00F12C48">
        <w:t>rýchlejšia Európa:</w:t>
      </w:r>
      <w:r w:rsidRPr="00F12C48">
        <w:rPr>
          <w:i/>
        </w:rPr>
        <w:t xml:space="preserve"> </w:t>
      </w:r>
      <w:r w:rsidRPr="00F12C48">
        <w:t>oznámenie</w:t>
      </w:r>
      <w:r w:rsidR="00F12C48">
        <w:t xml:space="preserve"> o </w:t>
      </w:r>
      <w:r w:rsidRPr="00F12C48">
        <w:t>vykonávaní</w:t>
      </w:r>
      <w:r w:rsidR="00F12C48">
        <w:t xml:space="preserve"> a </w:t>
      </w:r>
      <w:r w:rsidRPr="00F12C48">
        <w:t>zjednodušení“, COM(2025) 47 final.</w:t>
      </w:r>
    </w:p>
  </w:footnote>
  <w:footnote w:id="21">
    <w:p w14:paraId="1BD1DB8D" w14:textId="10D6F445" w:rsidR="0005409B" w:rsidRPr="00F12C48" w:rsidRDefault="0005409B" w:rsidP="0080569C">
      <w:pPr>
        <w:pStyle w:val="Textpoznmkypodiarou"/>
      </w:pPr>
      <w:r w:rsidRPr="00F12C48">
        <w:rPr>
          <w:rStyle w:val="Odkaznapoznmkupodiarou"/>
        </w:rPr>
        <w:footnoteRef/>
      </w:r>
      <w:r w:rsidRPr="00F12C48">
        <w:tab/>
        <w:t>Smernica Európskeho parlamentu</w:t>
      </w:r>
      <w:r w:rsidR="00F12C48">
        <w:t xml:space="preserve"> a </w:t>
      </w:r>
      <w:r w:rsidRPr="00F12C48">
        <w:t>Rady (EÚ) 2022/2464 zo 14</w:t>
      </w:r>
      <w:r w:rsidR="00F12C48">
        <w:t>. decembra</w:t>
      </w:r>
      <w:r w:rsidRPr="00F12C48">
        <w:t xml:space="preserve"> 2022, ktorou sa mení nariadenie (EÚ) č. 537/2014, smernica 2004/109/ES, smernica 2006/43/ES</w:t>
      </w:r>
      <w:r w:rsidR="00F12C48">
        <w:t xml:space="preserve"> a </w:t>
      </w:r>
      <w:r w:rsidRPr="00F12C48">
        <w:t>smernica 2013/34/EÚ, pokiaľ ide</w:t>
      </w:r>
      <w:r w:rsidR="00F12C48">
        <w:t xml:space="preserve"> o </w:t>
      </w:r>
      <w:r w:rsidRPr="00F12C48">
        <w:t>vykazovanie informácií</w:t>
      </w:r>
      <w:r w:rsidR="00F12C48">
        <w:t xml:space="preserve"> o </w:t>
      </w:r>
      <w:r w:rsidRPr="00F12C48">
        <w:t>udržateľnosti podnikov (Ú. v. EÚ L 322, 16.12.2022, s. 15, ELI: </w:t>
      </w:r>
      <w:hyperlink r:id="rId2" w:tooltip="Umožňuje prístup k tomuto dokumentu prostredníctvom identifikátora URI používaného v rámci ELI." w:history="1">
        <w:r w:rsidRPr="00F12C48">
          <w:rPr>
            <w:color w:val="0000FF"/>
            <w:u w:val="single"/>
          </w:rPr>
          <w:t>http://data.europa.eu/eli/dir/2022/2464/oj</w:t>
        </w:r>
      </w:hyperlink>
      <w:r w:rsidRPr="00F12C48">
        <w:t>).</w:t>
      </w:r>
    </w:p>
  </w:footnote>
  <w:footnote w:id="22">
    <w:p w14:paraId="5CE05F6D" w14:textId="3DD7064B" w:rsidR="005C7196" w:rsidRPr="00F12C48" w:rsidRDefault="005C7196" w:rsidP="005C7196">
      <w:pPr>
        <w:pStyle w:val="Textpoznmkypodiarou"/>
      </w:pPr>
      <w:r w:rsidRPr="00F12C48">
        <w:rPr>
          <w:rStyle w:val="Odkaznapoznmkupodiarou"/>
        </w:rPr>
        <w:footnoteRef/>
      </w:r>
      <w:r w:rsidRPr="00F12C48">
        <w:tab/>
        <w:t>Smernica Európskeho parlamentu</w:t>
      </w:r>
      <w:r w:rsidR="00F12C48">
        <w:t xml:space="preserve"> a </w:t>
      </w:r>
      <w:r w:rsidRPr="00F12C48">
        <w:t>Rady (EÚ) 2024/1760</w:t>
      </w:r>
      <w:r w:rsidR="00F12C48">
        <w:t xml:space="preserve"> z </w:t>
      </w:r>
      <w:r w:rsidRPr="00F12C48">
        <w:t>13</w:t>
      </w:r>
      <w:r w:rsidR="00F12C48">
        <w:t>. júna</w:t>
      </w:r>
      <w:r w:rsidRPr="00F12C48">
        <w:t xml:space="preserve"> 2024</w:t>
      </w:r>
      <w:r w:rsidR="00F12C48">
        <w:t xml:space="preserve"> o </w:t>
      </w:r>
      <w:r w:rsidRPr="00F12C48">
        <w:t>náležitej starostlivosti podnikov</w:t>
      </w:r>
      <w:r w:rsidR="00F12C48">
        <w:t xml:space="preserve"> v </w:t>
      </w:r>
      <w:r w:rsidRPr="00F12C48">
        <w:t>oblasti udržateľnosti</w:t>
      </w:r>
      <w:r w:rsidR="00F12C48">
        <w:t xml:space="preserve"> a o </w:t>
      </w:r>
      <w:r w:rsidRPr="00F12C48">
        <w:t>zmene smernice (EÚ) 2019/1937</w:t>
      </w:r>
      <w:r w:rsidR="00F12C48">
        <w:t xml:space="preserve"> a </w:t>
      </w:r>
      <w:r w:rsidRPr="00F12C48">
        <w:t>nariadenia (EÚ) 2023/2859 (Ú. v. EÚ L, 2024/1760, 5.7.2024, ELI: http://data.europa.eu/eli/dir/2024/1760/oj).</w:t>
      </w:r>
    </w:p>
  </w:footnote>
  <w:footnote w:id="23">
    <w:p w14:paraId="26B9C313" w14:textId="5311513F" w:rsidR="00E6553B" w:rsidRPr="00F12C48" w:rsidRDefault="00E6553B" w:rsidP="00E6553B">
      <w:pPr>
        <w:pStyle w:val="Textpoznmkypodiarou"/>
      </w:pPr>
      <w:r w:rsidRPr="00F12C48">
        <w:rPr>
          <w:rStyle w:val="Odkaznapoznmkupodiarou"/>
        </w:rPr>
        <w:footnoteRef/>
      </w:r>
      <w:r w:rsidRPr="00F12C48">
        <w:tab/>
        <w:t>Oznámenie Komisie Európskemu parlamentu, Európskej rade, Rade, Európskemu hospodárskemu</w:t>
      </w:r>
      <w:r w:rsidR="00F12C48">
        <w:t xml:space="preserve"> a </w:t>
      </w:r>
      <w:r w:rsidRPr="00F12C48">
        <w:t>sociálnemu výboru</w:t>
      </w:r>
      <w:r w:rsidR="00F12C48">
        <w:t xml:space="preserve"> a </w:t>
      </w:r>
      <w:r w:rsidRPr="00F12C48">
        <w:t>Výboru regiónov</w:t>
      </w:r>
      <w:r w:rsidR="00F12C48">
        <w:t xml:space="preserve"> z </w:t>
      </w:r>
      <w:r w:rsidRPr="00F12C48">
        <w:t>11</w:t>
      </w:r>
      <w:r w:rsidR="00F12C48">
        <w:t>. decembra</w:t>
      </w:r>
      <w:r w:rsidRPr="00F12C48">
        <w:t xml:space="preserve"> 2019 „Európska zelená dohoda“, COM(2019) 640 final.</w:t>
      </w:r>
    </w:p>
  </w:footnote>
  <w:footnote w:id="24">
    <w:p w14:paraId="3F7D67A6" w14:textId="54E0CF6C" w:rsidR="005C7196" w:rsidRPr="00F12C48" w:rsidRDefault="005C7196" w:rsidP="00DE5445">
      <w:pPr>
        <w:pStyle w:val="Textpoznmkypodiarou"/>
      </w:pPr>
      <w:r w:rsidRPr="00F12C48">
        <w:rPr>
          <w:rStyle w:val="Odkaznapoznmkupodiarou"/>
        </w:rPr>
        <w:footnoteRef/>
      </w:r>
      <w:r w:rsidRPr="00F12C48">
        <w:tab/>
      </w:r>
      <w:r w:rsidRPr="00F12C48">
        <w:rPr>
          <w:sz w:val="18"/>
        </w:rPr>
        <w:t>Oznámenie Komisie Európskemu parlamentu, Európskej rade, Rade, Európskej centrálnej banke, Európskemu hospodárskemu</w:t>
      </w:r>
      <w:r w:rsidR="00F12C48">
        <w:rPr>
          <w:sz w:val="18"/>
        </w:rPr>
        <w:t xml:space="preserve"> a </w:t>
      </w:r>
      <w:r w:rsidRPr="00F12C48">
        <w:rPr>
          <w:sz w:val="18"/>
        </w:rPr>
        <w:t>sociálnemu výboru</w:t>
      </w:r>
      <w:r w:rsidR="00F12C48">
        <w:rPr>
          <w:sz w:val="18"/>
        </w:rPr>
        <w:t xml:space="preserve"> a </w:t>
      </w:r>
      <w:r w:rsidRPr="00F12C48">
        <w:rPr>
          <w:sz w:val="18"/>
        </w:rPr>
        <w:t>Výboru regiónov „Akčný plán:</w:t>
      </w:r>
      <w:r w:rsidRPr="00F12C48">
        <w:rPr>
          <w:i/>
          <w:sz w:val="18"/>
        </w:rPr>
        <w:t xml:space="preserve"> </w:t>
      </w:r>
      <w:r w:rsidRPr="00F12C48">
        <w:rPr>
          <w:sz w:val="18"/>
        </w:rPr>
        <w:t>Financovanie udržateľného rastu“, COM(2018) 097 final.</w:t>
      </w:r>
    </w:p>
  </w:footnote>
  <w:footnote w:id="25">
    <w:p w14:paraId="48FE2A8A" w14:textId="4BE12128" w:rsidR="0015348C" w:rsidRPr="00F12C48" w:rsidRDefault="0015348C" w:rsidP="005F5F45">
      <w:pPr>
        <w:pStyle w:val="Textpoznmkypodiarou"/>
      </w:pPr>
      <w:r w:rsidRPr="00F12C48">
        <w:rPr>
          <w:rStyle w:val="Odkaznapoznmkupodiarou"/>
        </w:rPr>
        <w:footnoteRef/>
      </w:r>
      <w:r w:rsidRPr="00F12C48">
        <w:tab/>
        <w:t>Smernica Európskeho parlamentu</w:t>
      </w:r>
      <w:r w:rsidR="00F12C48">
        <w:t xml:space="preserve"> a </w:t>
      </w:r>
      <w:r w:rsidRPr="00F12C48">
        <w:t>Rady 2013/34/EÚ</w:t>
      </w:r>
      <w:r w:rsidR="00F12C48">
        <w:t xml:space="preserve"> z </w:t>
      </w:r>
      <w:r w:rsidRPr="00F12C48">
        <w:t>26</w:t>
      </w:r>
      <w:r w:rsidR="00F12C48">
        <w:t>. júna</w:t>
      </w:r>
      <w:r w:rsidRPr="00F12C48">
        <w:t xml:space="preserve"> 2013</w:t>
      </w:r>
      <w:r w:rsidR="00F12C48">
        <w:t xml:space="preserve"> o </w:t>
      </w:r>
      <w:r w:rsidRPr="00F12C48">
        <w:t>ročných účtovných závierkach, konsolidovaných účtovných závierkach</w:t>
      </w:r>
      <w:r w:rsidR="00F12C48">
        <w:t xml:space="preserve"> a </w:t>
      </w:r>
      <w:r w:rsidRPr="00F12C48">
        <w:t>súvisiacich správach určitých druhov podnikov, ktorou sa mení smernica Európskeho parlamentu</w:t>
      </w:r>
      <w:r w:rsidR="00F12C48">
        <w:t xml:space="preserve"> a </w:t>
      </w:r>
      <w:r w:rsidRPr="00F12C48">
        <w:t>Rady 2006/43/ES</w:t>
      </w:r>
      <w:r w:rsidR="00F12C48">
        <w:t xml:space="preserve"> a </w:t>
      </w:r>
      <w:r w:rsidRPr="00F12C48">
        <w:t>zrušujú smernice Rady 78/660/EHS</w:t>
      </w:r>
      <w:r w:rsidR="00F12C48">
        <w:t xml:space="preserve"> a </w:t>
      </w:r>
      <w:r w:rsidRPr="00F12C48">
        <w:t>83/349/EHS (Ú. v. EÚ L 182, 29.6.2013, s. 19, ELI: http://data.europa.eu/eli/dir/2013/34/oj).</w:t>
      </w:r>
    </w:p>
  </w:footnote>
  <w:footnote w:id="26">
    <w:p w14:paraId="59B2C4CD" w14:textId="3B8C105F" w:rsidR="007B433C" w:rsidRPr="00F12C48" w:rsidRDefault="007B433C" w:rsidP="007B7660">
      <w:pPr>
        <w:pStyle w:val="Textpoznmkypodiarou"/>
      </w:pPr>
      <w:r w:rsidRPr="00F12C48">
        <w:rPr>
          <w:rStyle w:val="Odkaznapoznmkupodiarou"/>
        </w:rPr>
        <w:footnoteRef/>
      </w:r>
      <w:r w:rsidRPr="00F12C48">
        <w:tab/>
        <w:t>Smernica Európskeho parlamentu</w:t>
      </w:r>
      <w:r w:rsidR="00F12C48">
        <w:t xml:space="preserve"> a </w:t>
      </w:r>
      <w:r w:rsidRPr="00F12C48">
        <w:t>Rady 2004/109/ES</w:t>
      </w:r>
      <w:r w:rsidR="00F12C48">
        <w:t xml:space="preserve"> z </w:t>
      </w:r>
      <w:r w:rsidRPr="00F12C48">
        <w:t>15</w:t>
      </w:r>
      <w:r w:rsidR="00F12C48">
        <w:t>. decembra</w:t>
      </w:r>
      <w:r w:rsidRPr="00F12C48">
        <w:t xml:space="preserve"> 2004</w:t>
      </w:r>
      <w:r w:rsidR="00F12C48">
        <w:t xml:space="preserve"> o </w:t>
      </w:r>
      <w:r w:rsidRPr="00F12C48">
        <w:t>harmonizácii požiadaviek na transparentnosť</w:t>
      </w:r>
      <w:r w:rsidR="00F12C48">
        <w:t xml:space="preserve"> v </w:t>
      </w:r>
      <w:r w:rsidRPr="00F12C48">
        <w:t>súvislosti</w:t>
      </w:r>
      <w:r w:rsidR="00F12C48">
        <w:t xml:space="preserve"> s </w:t>
      </w:r>
      <w:r w:rsidRPr="00F12C48">
        <w:t>informáciami</w:t>
      </w:r>
      <w:r w:rsidR="00F12C48">
        <w:t xml:space="preserve"> o </w:t>
      </w:r>
      <w:r w:rsidRPr="00F12C48">
        <w:t>emitentoch, ktorých cenné papiere sú prijaté na obchodovanie na regulovanom trhu,</w:t>
      </w:r>
      <w:r w:rsidR="00F12C48">
        <w:t xml:space="preserve"> a </w:t>
      </w:r>
      <w:r w:rsidRPr="00F12C48">
        <w:t>ktorou sa mení</w:t>
      </w:r>
      <w:r w:rsidR="00F12C48">
        <w:t xml:space="preserve"> a </w:t>
      </w:r>
      <w:r w:rsidRPr="00F12C48">
        <w:t xml:space="preserve">dopĺňa smernica 2001/34/ES (Ú. v. EÚ L 390, 31.12.2004, s. 38, ELI: </w:t>
      </w:r>
      <w:hyperlink r:id="rId3" w:history="1">
        <w:r w:rsidRPr="00F12C48">
          <w:rPr>
            <w:rStyle w:val="Hypertextovprepojenie"/>
          </w:rPr>
          <w:t>http://data.europa.eu/eli/dir/2004/109/oj</w:t>
        </w:r>
      </w:hyperlink>
      <w:r w:rsidRPr="00F12C48">
        <w:t>)</w:t>
      </w:r>
      <w:r w:rsidR="00F12C48">
        <w:t>.</w:t>
      </w:r>
    </w:p>
  </w:footnote>
  <w:footnote w:id="27">
    <w:p w14:paraId="3A34D00E" w14:textId="0FB84C70" w:rsidR="00CA2B31" w:rsidRPr="00F12C48" w:rsidRDefault="00CA2B31" w:rsidP="00CA2B31">
      <w:pPr>
        <w:pStyle w:val="Textpoznmkypodiarou"/>
      </w:pPr>
      <w:r w:rsidRPr="00F12C48">
        <w:rPr>
          <w:rStyle w:val="Odkaznapoznmkupodiarou"/>
        </w:rPr>
        <w:footnoteRef/>
      </w:r>
      <w:r w:rsidRPr="00F12C48">
        <w:tab/>
        <w:t>Podľa článku 58 ods. 2 písm. a) alebo b) nariadenia</w:t>
      </w:r>
      <w:r w:rsidR="00F12C48">
        <w:t xml:space="preserve"> o </w:t>
      </w:r>
      <w:r w:rsidRPr="00F12C48">
        <w:t>rozpočtových pravidlách.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0234E" w14:textId="77777777" w:rsidR="008434AF" w:rsidRDefault="008434A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63F27" w14:textId="77777777" w:rsidR="008434AF" w:rsidRDefault="008434A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slovanzoznam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slovanzoznam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15:restartNumberingAfterBreak="0">
    <w:nsid w:val="542A1204"/>
    <w:multiLevelType w:val="multilevel"/>
    <w:tmpl w:val="BC1E8404"/>
    <w:lvl w:ilvl="0">
      <w:start w:val="1"/>
      <w:numFmt w:val="decimal"/>
      <w:pStyle w:val="slovanzoznam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57C4C1E"/>
    <w:multiLevelType w:val="hybridMultilevel"/>
    <w:tmpl w:val="C8306D66"/>
    <w:lvl w:ilvl="0" w:tplc="00C6189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B0B0635"/>
    <w:multiLevelType w:val="singleLevel"/>
    <w:tmpl w:val="017E7CEE"/>
    <w:lvl w:ilvl="0">
      <w:start w:val="1"/>
      <w:numFmt w:val="bullet"/>
      <w:lvlRestart w:val="0"/>
      <w:pStyle w:val="Zoznamsodrkami4"/>
      <w:lvlText w:val=""/>
      <w:lvlJc w:val="left"/>
      <w:pPr>
        <w:tabs>
          <w:tab w:val="num" w:pos="1134"/>
        </w:tabs>
        <w:ind w:left="1134" w:hanging="283"/>
      </w:pPr>
      <w:rPr>
        <w:rFonts w:ascii="Symbol" w:hAnsi="Symbol" w:hint="default"/>
      </w:rPr>
    </w:lvl>
  </w:abstractNum>
  <w:abstractNum w:abstractNumId="2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5DF84969"/>
    <w:multiLevelType w:val="singleLevel"/>
    <w:tmpl w:val="1E12021A"/>
    <w:lvl w:ilvl="0">
      <w:start w:val="1"/>
      <w:numFmt w:val="bullet"/>
      <w:pStyle w:val="Zoznamsodrkami"/>
      <w:lvlText w:val=""/>
      <w:lvlJc w:val="left"/>
      <w:pPr>
        <w:tabs>
          <w:tab w:val="num" w:pos="283"/>
        </w:tabs>
        <w:ind w:left="283" w:hanging="283"/>
      </w:pPr>
      <w:rPr>
        <w:rFonts w:ascii="Symbol" w:hAnsi="Symbol" w:hint="default"/>
      </w:rPr>
    </w:lvl>
  </w:abstractNum>
  <w:abstractNum w:abstractNumId="26" w15:restartNumberingAfterBreak="0">
    <w:nsid w:val="64A12FA4"/>
    <w:multiLevelType w:val="multilevel"/>
    <w:tmpl w:val="428ECF3E"/>
    <w:name w:val="Heading"/>
    <w:lvl w:ilvl="0">
      <w:start w:val="1"/>
      <w:numFmt w:val="decimal"/>
      <w:lvlRestart w:val="0"/>
      <w:pStyle w:val="Nadpis1"/>
      <w:lvlText w:val="%1."/>
      <w:lvlJc w:val="left"/>
      <w:pPr>
        <w:tabs>
          <w:tab w:val="num" w:pos="850"/>
        </w:tabs>
        <w:ind w:left="850" w:hanging="850"/>
      </w:pPr>
    </w:lvl>
    <w:lvl w:ilvl="1">
      <w:start w:val="1"/>
      <w:numFmt w:val="decimal"/>
      <w:pStyle w:val="Nadpis2"/>
      <w:lvlText w:val="%1.%2."/>
      <w:lvlJc w:val="left"/>
      <w:pPr>
        <w:tabs>
          <w:tab w:val="num" w:pos="850"/>
        </w:tabs>
        <w:ind w:left="850" w:hanging="850"/>
      </w:pPr>
    </w:lvl>
    <w:lvl w:ilvl="2">
      <w:start w:val="1"/>
      <w:numFmt w:val="decimal"/>
      <w:pStyle w:val="Nadpis3"/>
      <w:lvlText w:val="%1.%2.%3."/>
      <w:lvlJc w:val="left"/>
      <w:pPr>
        <w:tabs>
          <w:tab w:val="num" w:pos="850"/>
        </w:tabs>
        <w:ind w:left="850" w:hanging="850"/>
      </w:pPr>
    </w:lvl>
    <w:lvl w:ilvl="3">
      <w:start w:val="1"/>
      <w:numFmt w:val="decimal"/>
      <w:pStyle w:val="Nadpis4"/>
      <w:lvlText w:val="%1.%2.%3.%4."/>
      <w:lvlJc w:val="left"/>
      <w:pPr>
        <w:tabs>
          <w:tab w:val="num" w:pos="850"/>
        </w:tabs>
        <w:ind w:left="850" w:hanging="850"/>
      </w:pPr>
    </w:lvl>
    <w:lvl w:ilvl="4">
      <w:start w:val="1"/>
      <w:numFmt w:val="decimal"/>
      <w:pStyle w:val="Nadpis5"/>
      <w:lvlText w:val="%1.%2.%3.%4.%5."/>
      <w:lvlJc w:val="left"/>
      <w:pPr>
        <w:tabs>
          <w:tab w:val="num" w:pos="1417"/>
        </w:tabs>
        <w:ind w:left="1417" w:hanging="1417"/>
      </w:pPr>
    </w:lvl>
    <w:lvl w:ilvl="5">
      <w:start w:val="1"/>
      <w:numFmt w:val="decimal"/>
      <w:pStyle w:val="Nadpis6"/>
      <w:lvlText w:val="%1.%2.%3.%4.%5.%6."/>
      <w:lvlJc w:val="left"/>
      <w:pPr>
        <w:tabs>
          <w:tab w:val="num" w:pos="1417"/>
        </w:tabs>
        <w:ind w:left="1417" w:hanging="1417"/>
      </w:pPr>
    </w:lvl>
    <w:lvl w:ilvl="6">
      <w:start w:val="1"/>
      <w:numFmt w:val="decimal"/>
      <w:pStyle w:val="Nadpis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15:restartNumberingAfterBreak="0">
    <w:nsid w:val="71F06166"/>
    <w:multiLevelType w:val="multilevel"/>
    <w:tmpl w:val="C08066D2"/>
    <w:name w:val="0.6719891"/>
    <w:lvl w:ilvl="0">
      <w:start w:val="1"/>
      <w:numFmt w:val="decimal"/>
      <w:lvlRestart w:val="0"/>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3D73F7A"/>
    <w:multiLevelType w:val="singleLevel"/>
    <w:tmpl w:val="26365734"/>
    <w:lvl w:ilvl="0">
      <w:start w:val="1"/>
      <w:numFmt w:val="bullet"/>
      <w:pStyle w:val="Zoznamsodrkami2"/>
      <w:lvlText w:val=""/>
      <w:lvlJc w:val="left"/>
      <w:pPr>
        <w:tabs>
          <w:tab w:val="num" w:pos="1134"/>
        </w:tabs>
        <w:ind w:left="1134" w:hanging="283"/>
      </w:pPr>
      <w:rPr>
        <w:rFonts w:ascii="Symbol" w:hAnsi="Symbol" w:hint="default"/>
      </w:rPr>
    </w:lvl>
  </w:abstractNum>
  <w:abstractNum w:abstractNumId="30" w15:restartNumberingAfterBreak="0">
    <w:nsid w:val="76BC5C11"/>
    <w:multiLevelType w:val="singleLevel"/>
    <w:tmpl w:val="E44CE82E"/>
    <w:lvl w:ilvl="0">
      <w:start w:val="1"/>
      <w:numFmt w:val="bullet"/>
      <w:pStyle w:val="Zoznamsodrkami3"/>
      <w:lvlText w:val=""/>
      <w:lvlJc w:val="left"/>
      <w:pPr>
        <w:tabs>
          <w:tab w:val="num" w:pos="1134"/>
        </w:tabs>
        <w:ind w:left="1134" w:hanging="283"/>
      </w:pPr>
      <w:rPr>
        <w:rFonts w:ascii="Symbol" w:hAnsi="Symbol" w:hint="default"/>
      </w:r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2076538092">
    <w:abstractNumId w:val="0"/>
  </w:num>
  <w:num w:numId="2" w16cid:durableId="1704548788">
    <w:abstractNumId w:val="21"/>
  </w:num>
  <w:num w:numId="3" w16cid:durableId="679238173">
    <w:abstractNumId w:val="8"/>
  </w:num>
  <w:num w:numId="4" w16cid:durableId="926884934">
    <w:abstractNumId w:val="17"/>
  </w:num>
  <w:num w:numId="5" w16cid:durableId="534120559">
    <w:abstractNumId w:val="16"/>
  </w:num>
  <w:num w:numId="6" w16cid:durableId="1234854697">
    <w:abstractNumId w:val="28"/>
  </w:num>
  <w:num w:numId="7" w16cid:durableId="1982533594">
    <w:abstractNumId w:val="25"/>
  </w:num>
  <w:num w:numId="8" w16cid:durableId="2040474781">
    <w:abstractNumId w:val="29"/>
  </w:num>
  <w:num w:numId="9" w16cid:durableId="1139956727">
    <w:abstractNumId w:val="30"/>
  </w:num>
  <w:num w:numId="10" w16cid:durableId="1086683150">
    <w:abstractNumId w:val="1"/>
  </w:num>
  <w:num w:numId="11" w16cid:durableId="1528982444">
    <w:abstractNumId w:val="10"/>
  </w:num>
  <w:num w:numId="12" w16cid:durableId="1351181366">
    <w:abstractNumId w:val="2"/>
  </w:num>
  <w:num w:numId="13" w16cid:durableId="1032610312">
    <w:abstractNumId w:val="11"/>
  </w:num>
  <w:num w:numId="14" w16cid:durableId="1679426193">
    <w:abstractNumId w:val="9"/>
  </w:num>
  <w:num w:numId="15" w16cid:durableId="184173499">
    <w:abstractNumId w:val="18"/>
  </w:num>
  <w:num w:numId="16" w16cid:durableId="1874728328">
    <w:abstractNumId w:val="7"/>
  </w:num>
  <w:num w:numId="17" w16cid:durableId="1174997990">
    <w:abstractNumId w:val="20"/>
  </w:num>
  <w:num w:numId="18" w16cid:durableId="241374933">
    <w:abstractNumId w:val="31"/>
    <w:lvlOverride w:ilvl="0">
      <w:startOverride w:val="1"/>
    </w:lvlOverride>
  </w:num>
  <w:num w:numId="19" w16cid:durableId="1227493470">
    <w:abstractNumId w:val="24"/>
    <w:lvlOverride w:ilvl="0">
      <w:startOverride w:val="1"/>
    </w:lvlOverride>
  </w:num>
  <w:num w:numId="20" w16cid:durableId="45377013">
    <w:abstractNumId w:val="15"/>
    <w:lvlOverride w:ilvl="0">
      <w:startOverride w:val="1"/>
    </w:lvlOverride>
  </w:num>
  <w:num w:numId="21" w16cid:durableId="1637030990">
    <w:abstractNumId w:val="12"/>
    <w:lvlOverride w:ilvl="0">
      <w:startOverride w:val="1"/>
    </w:lvlOverride>
  </w:num>
  <w:num w:numId="22" w16cid:durableId="2055079132">
    <w:abstractNumId w:val="24"/>
  </w:num>
  <w:num w:numId="23" w16cid:durableId="874199299">
    <w:abstractNumId w:val="12"/>
  </w:num>
  <w:num w:numId="24" w16cid:durableId="896014554">
    <w:abstractNumId w:val="27"/>
  </w:num>
  <w:num w:numId="25" w16cid:durableId="1028945152">
    <w:abstractNumId w:val="6"/>
  </w:num>
  <w:num w:numId="26" w16cid:durableId="405882004">
    <w:abstractNumId w:val="13"/>
  </w:num>
  <w:num w:numId="27" w16cid:durableId="924219120">
    <w:abstractNumId w:val="14"/>
  </w:num>
  <w:num w:numId="28" w16cid:durableId="2092894327">
    <w:abstractNumId w:val="4"/>
  </w:num>
  <w:num w:numId="29" w16cid:durableId="1720396399">
    <w:abstractNumId w:val="26"/>
  </w:num>
  <w:num w:numId="30" w16cid:durableId="1659455485">
    <w:abstractNumId w:val="3"/>
  </w:num>
  <w:num w:numId="31" w16cid:durableId="1810631313">
    <w:abstractNumId w:val="15"/>
  </w:num>
  <w:num w:numId="32" w16cid:durableId="553278659">
    <w:abstractNumId w:val="22"/>
  </w:num>
  <w:num w:numId="33" w16cid:durableId="1918132662">
    <w:abstractNumId w:val="23"/>
  </w:num>
  <w:num w:numId="34" w16cid:durableId="1271595398">
    <w:abstractNumId w:val="5"/>
  </w:num>
  <w:num w:numId="35" w16cid:durableId="1975790584">
    <w:abstractNumId w:val="19"/>
  </w:num>
  <w:num w:numId="36" w16cid:durableId="1206989859">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_RefLast" w:val="0"/>
    <w:docVar w:name="DQCDateTime" w:val="2025-03-12 19:55:1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4CA23413-2376-43E5-B864-9697F100CFB7"/>
    <w:docVar w:name="LW_COVERPAGE_TYPE" w:val="1"/>
    <w:docVar w:name="LW_CreatedUtc" w:val="2025-02-06T08:46:16.1545004Z"/>
    <w:docVar w:name="LW_CROSSREFERENCE" w:val="{SWD(2025) 80 final}"/>
    <w:docVar w:name="LW_DocType" w:val="COM"/>
    <w:docVar w:name="LW_EMISSION" w:val="26. 2. 2025"/>
    <w:docVar w:name="LW_EMISSION_ISODATE" w:val="2025-02-26"/>
    <w:docVar w:name="LW_EMISSION_LOCATION" w:val="BRX"/>
    <w:docVar w:name="LW_EMISSION_PREFIX" w:val="V Bruseli"/>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Text s významom pre EHP)"/>
    <w:docVar w:name="LW_LANGUE" w:val="SK"/>
    <w:docVar w:name="LW_LEVEL_OF_SENSITIVITY" w:val="Standard treatment"/>
    <w:docVar w:name="LW_NOM.INST" w:val="EURÓPSKA KOMISIA"/>
    <w:docVar w:name="LW_NOM.INST_JOINTDOC" w:val="&lt;EMPTY&gt;"/>
    <w:docVar w:name="LW_PART_NBR" w:val="1"/>
    <w:docVar w:name="LW_PART_NBR_TOTAL" w:val="1"/>
    <w:docVar w:name="LW_REF.II.NEW.CP" w:val="COD"/>
    <w:docVar w:name="LW_REF.II.NEW.CP_NUMBER" w:val="0044"/>
    <w:docVar w:name="LW_REF.II.NEW.CP_YEAR" w:val="2025"/>
    <w:docVar w:name="LW_REF.INST.NEW" w:val="COM"/>
    <w:docVar w:name="LW_REF.INST.NEW_ADOPTED" w:val="final"/>
    <w:docVar w:name="LW_REF.INST.NEW_TEXT" w:val="(2025) 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Návrh"/>
    <w:docVar w:name="LW_SUPERTITRE" w:val="&lt;UNUSED&gt;"/>
    <w:docVar w:name="LW_TITRE.OBJ.CP" w:val="ktorou sa menia smernice (EÚ) 2022/2464 a (EÚ) 2024/1760, pokia\u318? ide o dátumy, od ktorých majú \u269?lenské \u353?táty uplat\u328?ova\u357? ur\u269?ité po\u382?iadavky na vykazovanie informácií o udr\u382?ate\u318?nosti podnikov a nále\u382?itú starostlivos\u357? podnikov v oblasti udr\u382?ate\u318?nosti"/>
    <w:docVar w:name="LW_TYPE.DOC.CP" w:val="SMERNICA EURÓPSKEHO PARLAMENTU A RADY,"/>
    <w:docVar w:name="LwApiVersions" w:val="LW4CoDe 1.24.5.0; LW 9.0, Build 20240221"/>
  </w:docVars>
  <w:rsids>
    <w:rsidRoot w:val="006C7F87"/>
    <w:rsid w:val="00000A56"/>
    <w:rsid w:val="00001519"/>
    <w:rsid w:val="00001C94"/>
    <w:rsid w:val="00001F5D"/>
    <w:rsid w:val="00002430"/>
    <w:rsid w:val="0000448A"/>
    <w:rsid w:val="00004740"/>
    <w:rsid w:val="00004DCC"/>
    <w:rsid w:val="00005FB2"/>
    <w:rsid w:val="000064E3"/>
    <w:rsid w:val="00006BE4"/>
    <w:rsid w:val="00010BD3"/>
    <w:rsid w:val="000115DD"/>
    <w:rsid w:val="00014203"/>
    <w:rsid w:val="00014E80"/>
    <w:rsid w:val="00016972"/>
    <w:rsid w:val="00017932"/>
    <w:rsid w:val="00020A00"/>
    <w:rsid w:val="00021ED7"/>
    <w:rsid w:val="00022B87"/>
    <w:rsid w:val="00023740"/>
    <w:rsid w:val="000240CF"/>
    <w:rsid w:val="00024DBC"/>
    <w:rsid w:val="000333BE"/>
    <w:rsid w:val="0003473F"/>
    <w:rsid w:val="00035C0E"/>
    <w:rsid w:val="00037573"/>
    <w:rsid w:val="000414FE"/>
    <w:rsid w:val="00042905"/>
    <w:rsid w:val="00044603"/>
    <w:rsid w:val="00046A65"/>
    <w:rsid w:val="00046D7B"/>
    <w:rsid w:val="00047793"/>
    <w:rsid w:val="000506E3"/>
    <w:rsid w:val="00051236"/>
    <w:rsid w:val="000515FD"/>
    <w:rsid w:val="00051AFB"/>
    <w:rsid w:val="00053819"/>
    <w:rsid w:val="0005409B"/>
    <w:rsid w:val="00057751"/>
    <w:rsid w:val="0005779E"/>
    <w:rsid w:val="00057DC9"/>
    <w:rsid w:val="00061420"/>
    <w:rsid w:val="000658DE"/>
    <w:rsid w:val="00065E58"/>
    <w:rsid w:val="00070B34"/>
    <w:rsid w:val="00070DE2"/>
    <w:rsid w:val="000722D8"/>
    <w:rsid w:val="00073A17"/>
    <w:rsid w:val="00073C6C"/>
    <w:rsid w:val="00074A2F"/>
    <w:rsid w:val="00074B47"/>
    <w:rsid w:val="00074F9C"/>
    <w:rsid w:val="000751F3"/>
    <w:rsid w:val="000759AE"/>
    <w:rsid w:val="00075F17"/>
    <w:rsid w:val="00080A04"/>
    <w:rsid w:val="00081021"/>
    <w:rsid w:val="00083172"/>
    <w:rsid w:val="00083FC5"/>
    <w:rsid w:val="00084620"/>
    <w:rsid w:val="00084AAD"/>
    <w:rsid w:val="0008577A"/>
    <w:rsid w:val="000857AB"/>
    <w:rsid w:val="000869E9"/>
    <w:rsid w:val="0008797C"/>
    <w:rsid w:val="00092E59"/>
    <w:rsid w:val="00094284"/>
    <w:rsid w:val="000944BA"/>
    <w:rsid w:val="0009477C"/>
    <w:rsid w:val="000956A0"/>
    <w:rsid w:val="00096750"/>
    <w:rsid w:val="000A0C13"/>
    <w:rsid w:val="000A19BC"/>
    <w:rsid w:val="000A1BF2"/>
    <w:rsid w:val="000A30FC"/>
    <w:rsid w:val="000A3313"/>
    <w:rsid w:val="000A419A"/>
    <w:rsid w:val="000A561A"/>
    <w:rsid w:val="000A5941"/>
    <w:rsid w:val="000A63E4"/>
    <w:rsid w:val="000A657B"/>
    <w:rsid w:val="000A68D5"/>
    <w:rsid w:val="000B0CA2"/>
    <w:rsid w:val="000B1895"/>
    <w:rsid w:val="000B1B58"/>
    <w:rsid w:val="000B1F10"/>
    <w:rsid w:val="000B1FD8"/>
    <w:rsid w:val="000B404F"/>
    <w:rsid w:val="000B47D3"/>
    <w:rsid w:val="000B51AB"/>
    <w:rsid w:val="000B5330"/>
    <w:rsid w:val="000B7904"/>
    <w:rsid w:val="000C02AD"/>
    <w:rsid w:val="000C13CE"/>
    <w:rsid w:val="000C1ADD"/>
    <w:rsid w:val="000C2145"/>
    <w:rsid w:val="000C21BD"/>
    <w:rsid w:val="000C4977"/>
    <w:rsid w:val="000C4B22"/>
    <w:rsid w:val="000C5C36"/>
    <w:rsid w:val="000C5D90"/>
    <w:rsid w:val="000C68DE"/>
    <w:rsid w:val="000D3A2F"/>
    <w:rsid w:val="000D5AA7"/>
    <w:rsid w:val="000D5FE5"/>
    <w:rsid w:val="000D6015"/>
    <w:rsid w:val="000D62EA"/>
    <w:rsid w:val="000D6621"/>
    <w:rsid w:val="000D6EEE"/>
    <w:rsid w:val="000E100A"/>
    <w:rsid w:val="000E39FC"/>
    <w:rsid w:val="000E3C43"/>
    <w:rsid w:val="000E44CD"/>
    <w:rsid w:val="000E764E"/>
    <w:rsid w:val="000E7BD7"/>
    <w:rsid w:val="000F1D21"/>
    <w:rsid w:val="000F2513"/>
    <w:rsid w:val="000F42C4"/>
    <w:rsid w:val="000F7EE5"/>
    <w:rsid w:val="001006D0"/>
    <w:rsid w:val="00100B9F"/>
    <w:rsid w:val="00100FF0"/>
    <w:rsid w:val="00103694"/>
    <w:rsid w:val="00103ABA"/>
    <w:rsid w:val="00105384"/>
    <w:rsid w:val="00105750"/>
    <w:rsid w:val="001065F5"/>
    <w:rsid w:val="00106C58"/>
    <w:rsid w:val="00106C8D"/>
    <w:rsid w:val="00107329"/>
    <w:rsid w:val="00110596"/>
    <w:rsid w:val="00110866"/>
    <w:rsid w:val="00110AFB"/>
    <w:rsid w:val="00110D9F"/>
    <w:rsid w:val="001112CA"/>
    <w:rsid w:val="00113E98"/>
    <w:rsid w:val="00116A75"/>
    <w:rsid w:val="00116F1C"/>
    <w:rsid w:val="00120567"/>
    <w:rsid w:val="00121879"/>
    <w:rsid w:val="00122340"/>
    <w:rsid w:val="001230BB"/>
    <w:rsid w:val="001238EF"/>
    <w:rsid w:val="0012448C"/>
    <w:rsid w:val="00124F31"/>
    <w:rsid w:val="001254B6"/>
    <w:rsid w:val="00125F26"/>
    <w:rsid w:val="001269CB"/>
    <w:rsid w:val="00126DDC"/>
    <w:rsid w:val="001275AC"/>
    <w:rsid w:val="00127E30"/>
    <w:rsid w:val="00131346"/>
    <w:rsid w:val="00133251"/>
    <w:rsid w:val="001333BB"/>
    <w:rsid w:val="001365F6"/>
    <w:rsid w:val="0013685A"/>
    <w:rsid w:val="00137105"/>
    <w:rsid w:val="001423E7"/>
    <w:rsid w:val="001428A5"/>
    <w:rsid w:val="001453BD"/>
    <w:rsid w:val="001459D6"/>
    <w:rsid w:val="001466AD"/>
    <w:rsid w:val="001471FE"/>
    <w:rsid w:val="00147D4A"/>
    <w:rsid w:val="00150A06"/>
    <w:rsid w:val="00150A0C"/>
    <w:rsid w:val="00152FAA"/>
    <w:rsid w:val="0015348C"/>
    <w:rsid w:val="00153715"/>
    <w:rsid w:val="00153787"/>
    <w:rsid w:val="00154A58"/>
    <w:rsid w:val="00155218"/>
    <w:rsid w:val="0015570C"/>
    <w:rsid w:val="001559B2"/>
    <w:rsid w:val="001615C9"/>
    <w:rsid w:val="00161789"/>
    <w:rsid w:val="00162314"/>
    <w:rsid w:val="00162A4D"/>
    <w:rsid w:val="00163D9A"/>
    <w:rsid w:val="001649F9"/>
    <w:rsid w:val="00164D21"/>
    <w:rsid w:val="0016514D"/>
    <w:rsid w:val="0016688D"/>
    <w:rsid w:val="00167380"/>
    <w:rsid w:val="001704A7"/>
    <w:rsid w:val="001704D3"/>
    <w:rsid w:val="00170CC9"/>
    <w:rsid w:val="001719D9"/>
    <w:rsid w:val="00172033"/>
    <w:rsid w:val="00172EF5"/>
    <w:rsid w:val="00175112"/>
    <w:rsid w:val="001776F1"/>
    <w:rsid w:val="00180EC5"/>
    <w:rsid w:val="0018228A"/>
    <w:rsid w:val="00183166"/>
    <w:rsid w:val="00183581"/>
    <w:rsid w:val="001838E7"/>
    <w:rsid w:val="00185648"/>
    <w:rsid w:val="001858F5"/>
    <w:rsid w:val="00186052"/>
    <w:rsid w:val="00186A70"/>
    <w:rsid w:val="00187AAD"/>
    <w:rsid w:val="00187BE3"/>
    <w:rsid w:val="00187DFA"/>
    <w:rsid w:val="00190E89"/>
    <w:rsid w:val="00191A83"/>
    <w:rsid w:val="00192B77"/>
    <w:rsid w:val="00192E2C"/>
    <w:rsid w:val="0019356E"/>
    <w:rsid w:val="00194258"/>
    <w:rsid w:val="00194BFD"/>
    <w:rsid w:val="0019598C"/>
    <w:rsid w:val="00196323"/>
    <w:rsid w:val="00197613"/>
    <w:rsid w:val="001A1613"/>
    <w:rsid w:val="001A1951"/>
    <w:rsid w:val="001A21C8"/>
    <w:rsid w:val="001A3845"/>
    <w:rsid w:val="001A38CB"/>
    <w:rsid w:val="001A47D3"/>
    <w:rsid w:val="001A545C"/>
    <w:rsid w:val="001A6105"/>
    <w:rsid w:val="001A6AB3"/>
    <w:rsid w:val="001A7869"/>
    <w:rsid w:val="001A7DB8"/>
    <w:rsid w:val="001B136D"/>
    <w:rsid w:val="001B17B7"/>
    <w:rsid w:val="001B3E56"/>
    <w:rsid w:val="001B428D"/>
    <w:rsid w:val="001B4307"/>
    <w:rsid w:val="001B4861"/>
    <w:rsid w:val="001B5A37"/>
    <w:rsid w:val="001B5FA7"/>
    <w:rsid w:val="001B7A1B"/>
    <w:rsid w:val="001C2F9D"/>
    <w:rsid w:val="001C3537"/>
    <w:rsid w:val="001C3BFF"/>
    <w:rsid w:val="001C49AB"/>
    <w:rsid w:val="001C785F"/>
    <w:rsid w:val="001D0366"/>
    <w:rsid w:val="001D0B41"/>
    <w:rsid w:val="001D2668"/>
    <w:rsid w:val="001D31CC"/>
    <w:rsid w:val="001D3F76"/>
    <w:rsid w:val="001D5C73"/>
    <w:rsid w:val="001D6441"/>
    <w:rsid w:val="001D68ED"/>
    <w:rsid w:val="001E0B9F"/>
    <w:rsid w:val="001E2559"/>
    <w:rsid w:val="001E3C74"/>
    <w:rsid w:val="001E595B"/>
    <w:rsid w:val="001E7E44"/>
    <w:rsid w:val="001F00A4"/>
    <w:rsid w:val="001F11BB"/>
    <w:rsid w:val="001F18C1"/>
    <w:rsid w:val="001F1CFD"/>
    <w:rsid w:val="001F3ED5"/>
    <w:rsid w:val="001F458A"/>
    <w:rsid w:val="001F5202"/>
    <w:rsid w:val="001F5A76"/>
    <w:rsid w:val="001F6994"/>
    <w:rsid w:val="001F6F3A"/>
    <w:rsid w:val="002002BC"/>
    <w:rsid w:val="00200F16"/>
    <w:rsid w:val="00201884"/>
    <w:rsid w:val="00201F03"/>
    <w:rsid w:val="00202280"/>
    <w:rsid w:val="002029D4"/>
    <w:rsid w:val="00202AD3"/>
    <w:rsid w:val="0020431E"/>
    <w:rsid w:val="0020482E"/>
    <w:rsid w:val="00204D3B"/>
    <w:rsid w:val="0020507B"/>
    <w:rsid w:val="00206CDC"/>
    <w:rsid w:val="00210E32"/>
    <w:rsid w:val="00211700"/>
    <w:rsid w:val="00211BF5"/>
    <w:rsid w:val="00212922"/>
    <w:rsid w:val="00213D3F"/>
    <w:rsid w:val="00213E32"/>
    <w:rsid w:val="00216527"/>
    <w:rsid w:val="00216752"/>
    <w:rsid w:val="00217359"/>
    <w:rsid w:val="002173A5"/>
    <w:rsid w:val="00220DDA"/>
    <w:rsid w:val="00222CD5"/>
    <w:rsid w:val="002235EA"/>
    <w:rsid w:val="002241E2"/>
    <w:rsid w:val="002253AB"/>
    <w:rsid w:val="00226EEE"/>
    <w:rsid w:val="00233980"/>
    <w:rsid w:val="00233DC7"/>
    <w:rsid w:val="00235DFF"/>
    <w:rsid w:val="002402F7"/>
    <w:rsid w:val="00240611"/>
    <w:rsid w:val="0024154A"/>
    <w:rsid w:val="002418E6"/>
    <w:rsid w:val="0024198F"/>
    <w:rsid w:val="0024323A"/>
    <w:rsid w:val="0024366B"/>
    <w:rsid w:val="00244488"/>
    <w:rsid w:val="00246B74"/>
    <w:rsid w:val="00247779"/>
    <w:rsid w:val="00250DBE"/>
    <w:rsid w:val="0025158A"/>
    <w:rsid w:val="00251A37"/>
    <w:rsid w:val="00252831"/>
    <w:rsid w:val="002537AF"/>
    <w:rsid w:val="00253805"/>
    <w:rsid w:val="0025383F"/>
    <w:rsid w:val="0025414A"/>
    <w:rsid w:val="00255F5F"/>
    <w:rsid w:val="00256B52"/>
    <w:rsid w:val="0025725C"/>
    <w:rsid w:val="002614A5"/>
    <w:rsid w:val="00261ED2"/>
    <w:rsid w:val="00262F94"/>
    <w:rsid w:val="002650E3"/>
    <w:rsid w:val="002654FB"/>
    <w:rsid w:val="00266484"/>
    <w:rsid w:val="002667E8"/>
    <w:rsid w:val="00271909"/>
    <w:rsid w:val="00271B0D"/>
    <w:rsid w:val="00274E63"/>
    <w:rsid w:val="00274FCF"/>
    <w:rsid w:val="002761CA"/>
    <w:rsid w:val="002775D8"/>
    <w:rsid w:val="00282A21"/>
    <w:rsid w:val="00285794"/>
    <w:rsid w:val="00285BEE"/>
    <w:rsid w:val="002868DC"/>
    <w:rsid w:val="00286FA2"/>
    <w:rsid w:val="0029280D"/>
    <w:rsid w:val="00293059"/>
    <w:rsid w:val="00293806"/>
    <w:rsid w:val="0029533F"/>
    <w:rsid w:val="002956CC"/>
    <w:rsid w:val="00297A5D"/>
    <w:rsid w:val="002A0B7B"/>
    <w:rsid w:val="002A2AF9"/>
    <w:rsid w:val="002A2E8F"/>
    <w:rsid w:val="002A3C91"/>
    <w:rsid w:val="002A3ECA"/>
    <w:rsid w:val="002A5850"/>
    <w:rsid w:val="002A75A8"/>
    <w:rsid w:val="002B0AE1"/>
    <w:rsid w:val="002B30AF"/>
    <w:rsid w:val="002B3437"/>
    <w:rsid w:val="002B4006"/>
    <w:rsid w:val="002B45CD"/>
    <w:rsid w:val="002B668A"/>
    <w:rsid w:val="002B6BA0"/>
    <w:rsid w:val="002B6DCB"/>
    <w:rsid w:val="002B7057"/>
    <w:rsid w:val="002B7587"/>
    <w:rsid w:val="002C0002"/>
    <w:rsid w:val="002C3CF8"/>
    <w:rsid w:val="002C5F60"/>
    <w:rsid w:val="002C68B1"/>
    <w:rsid w:val="002C75E5"/>
    <w:rsid w:val="002D3140"/>
    <w:rsid w:val="002D3451"/>
    <w:rsid w:val="002D59B4"/>
    <w:rsid w:val="002D6A34"/>
    <w:rsid w:val="002D76A6"/>
    <w:rsid w:val="002E2D55"/>
    <w:rsid w:val="002E31AD"/>
    <w:rsid w:val="002E3635"/>
    <w:rsid w:val="002F0991"/>
    <w:rsid w:val="002F319C"/>
    <w:rsid w:val="002F4862"/>
    <w:rsid w:val="002F4A91"/>
    <w:rsid w:val="002F4E46"/>
    <w:rsid w:val="002F5243"/>
    <w:rsid w:val="002F773F"/>
    <w:rsid w:val="002F7CCE"/>
    <w:rsid w:val="003017E4"/>
    <w:rsid w:val="003024E2"/>
    <w:rsid w:val="00307D02"/>
    <w:rsid w:val="003102DB"/>
    <w:rsid w:val="00310A73"/>
    <w:rsid w:val="00310F6D"/>
    <w:rsid w:val="003117B2"/>
    <w:rsid w:val="00311F6F"/>
    <w:rsid w:val="003121A3"/>
    <w:rsid w:val="00312AA4"/>
    <w:rsid w:val="00312FF4"/>
    <w:rsid w:val="00313A24"/>
    <w:rsid w:val="00313D82"/>
    <w:rsid w:val="00314468"/>
    <w:rsid w:val="00314682"/>
    <w:rsid w:val="00315DE7"/>
    <w:rsid w:val="00315F26"/>
    <w:rsid w:val="00316438"/>
    <w:rsid w:val="00316451"/>
    <w:rsid w:val="00316EFF"/>
    <w:rsid w:val="003204F1"/>
    <w:rsid w:val="00320592"/>
    <w:rsid w:val="00320FD0"/>
    <w:rsid w:val="00321646"/>
    <w:rsid w:val="00321BE7"/>
    <w:rsid w:val="00321F4A"/>
    <w:rsid w:val="00322B69"/>
    <w:rsid w:val="00322EFF"/>
    <w:rsid w:val="00323EC5"/>
    <w:rsid w:val="003240E3"/>
    <w:rsid w:val="00324E2F"/>
    <w:rsid w:val="00325BD4"/>
    <w:rsid w:val="00326015"/>
    <w:rsid w:val="00327AFF"/>
    <w:rsid w:val="00331383"/>
    <w:rsid w:val="00332C20"/>
    <w:rsid w:val="0033344A"/>
    <w:rsid w:val="00334C5B"/>
    <w:rsid w:val="00334FCB"/>
    <w:rsid w:val="00336F25"/>
    <w:rsid w:val="003379BF"/>
    <w:rsid w:val="00337C2A"/>
    <w:rsid w:val="003409AE"/>
    <w:rsid w:val="00341681"/>
    <w:rsid w:val="00343AF5"/>
    <w:rsid w:val="003446B3"/>
    <w:rsid w:val="00344AD0"/>
    <w:rsid w:val="00344EAA"/>
    <w:rsid w:val="00346CAD"/>
    <w:rsid w:val="00347DBD"/>
    <w:rsid w:val="00350807"/>
    <w:rsid w:val="00351D9C"/>
    <w:rsid w:val="00352AA2"/>
    <w:rsid w:val="003537A2"/>
    <w:rsid w:val="00353FFD"/>
    <w:rsid w:val="003553F8"/>
    <w:rsid w:val="00355C83"/>
    <w:rsid w:val="00360F19"/>
    <w:rsid w:val="00361B10"/>
    <w:rsid w:val="00363183"/>
    <w:rsid w:val="0036350F"/>
    <w:rsid w:val="00364007"/>
    <w:rsid w:val="00364373"/>
    <w:rsid w:val="0036598A"/>
    <w:rsid w:val="00365B52"/>
    <w:rsid w:val="00370804"/>
    <w:rsid w:val="00371584"/>
    <w:rsid w:val="00373936"/>
    <w:rsid w:val="0037411A"/>
    <w:rsid w:val="00374542"/>
    <w:rsid w:val="00375803"/>
    <w:rsid w:val="00377741"/>
    <w:rsid w:val="00380041"/>
    <w:rsid w:val="0038052F"/>
    <w:rsid w:val="00380540"/>
    <w:rsid w:val="00381DB2"/>
    <w:rsid w:val="00381E10"/>
    <w:rsid w:val="003822E4"/>
    <w:rsid w:val="003825CA"/>
    <w:rsid w:val="003839AC"/>
    <w:rsid w:val="0038523F"/>
    <w:rsid w:val="003869C9"/>
    <w:rsid w:val="00387B5E"/>
    <w:rsid w:val="00387B8C"/>
    <w:rsid w:val="00387C50"/>
    <w:rsid w:val="0039229E"/>
    <w:rsid w:val="003925DA"/>
    <w:rsid w:val="00395EEE"/>
    <w:rsid w:val="0039704F"/>
    <w:rsid w:val="00397E46"/>
    <w:rsid w:val="003A0FEF"/>
    <w:rsid w:val="003A4147"/>
    <w:rsid w:val="003A4F24"/>
    <w:rsid w:val="003A5802"/>
    <w:rsid w:val="003A64AB"/>
    <w:rsid w:val="003A735F"/>
    <w:rsid w:val="003B0695"/>
    <w:rsid w:val="003B3882"/>
    <w:rsid w:val="003B51EB"/>
    <w:rsid w:val="003C0521"/>
    <w:rsid w:val="003C2759"/>
    <w:rsid w:val="003C6B22"/>
    <w:rsid w:val="003C7508"/>
    <w:rsid w:val="003D2299"/>
    <w:rsid w:val="003D234B"/>
    <w:rsid w:val="003D25D1"/>
    <w:rsid w:val="003D2B3B"/>
    <w:rsid w:val="003D56AB"/>
    <w:rsid w:val="003D601A"/>
    <w:rsid w:val="003D6D30"/>
    <w:rsid w:val="003D6EEE"/>
    <w:rsid w:val="003D7AF6"/>
    <w:rsid w:val="003D7C1D"/>
    <w:rsid w:val="003E04EB"/>
    <w:rsid w:val="003E1F15"/>
    <w:rsid w:val="003E2888"/>
    <w:rsid w:val="003E324A"/>
    <w:rsid w:val="003E41BD"/>
    <w:rsid w:val="003E424A"/>
    <w:rsid w:val="003E5C68"/>
    <w:rsid w:val="003E6A28"/>
    <w:rsid w:val="003E6CBE"/>
    <w:rsid w:val="003F15F9"/>
    <w:rsid w:val="003F2513"/>
    <w:rsid w:val="003F2BB2"/>
    <w:rsid w:val="003F368B"/>
    <w:rsid w:val="003F431A"/>
    <w:rsid w:val="003F45C2"/>
    <w:rsid w:val="003F4AD4"/>
    <w:rsid w:val="003F5635"/>
    <w:rsid w:val="003F67DF"/>
    <w:rsid w:val="003F6B69"/>
    <w:rsid w:val="003F7F2C"/>
    <w:rsid w:val="00400B70"/>
    <w:rsid w:val="00401809"/>
    <w:rsid w:val="00402489"/>
    <w:rsid w:val="00402BCC"/>
    <w:rsid w:val="0040540B"/>
    <w:rsid w:val="00405725"/>
    <w:rsid w:val="0040618E"/>
    <w:rsid w:val="00406D00"/>
    <w:rsid w:val="00406D1A"/>
    <w:rsid w:val="00406FA6"/>
    <w:rsid w:val="00407B27"/>
    <w:rsid w:val="00407B6C"/>
    <w:rsid w:val="00410B63"/>
    <w:rsid w:val="00410E37"/>
    <w:rsid w:val="00412EEF"/>
    <w:rsid w:val="004135E9"/>
    <w:rsid w:val="00415FDE"/>
    <w:rsid w:val="00416EC6"/>
    <w:rsid w:val="00420292"/>
    <w:rsid w:val="0042085E"/>
    <w:rsid w:val="004214B1"/>
    <w:rsid w:val="00421A7A"/>
    <w:rsid w:val="00421AE4"/>
    <w:rsid w:val="004223DF"/>
    <w:rsid w:val="00422885"/>
    <w:rsid w:val="00423837"/>
    <w:rsid w:val="0042401C"/>
    <w:rsid w:val="004241F7"/>
    <w:rsid w:val="00425BAF"/>
    <w:rsid w:val="0042621B"/>
    <w:rsid w:val="0042624C"/>
    <w:rsid w:val="0042648E"/>
    <w:rsid w:val="004269D6"/>
    <w:rsid w:val="00427C2F"/>
    <w:rsid w:val="00427CE8"/>
    <w:rsid w:val="004406DD"/>
    <w:rsid w:val="00440E5D"/>
    <w:rsid w:val="00445246"/>
    <w:rsid w:val="00446AE5"/>
    <w:rsid w:val="004508D2"/>
    <w:rsid w:val="004509EC"/>
    <w:rsid w:val="00450F48"/>
    <w:rsid w:val="004513C5"/>
    <w:rsid w:val="00451B5A"/>
    <w:rsid w:val="0045374D"/>
    <w:rsid w:val="004559C6"/>
    <w:rsid w:val="00455DB9"/>
    <w:rsid w:val="00456DE1"/>
    <w:rsid w:val="00457727"/>
    <w:rsid w:val="00461474"/>
    <w:rsid w:val="004625B6"/>
    <w:rsid w:val="00463146"/>
    <w:rsid w:val="00463F23"/>
    <w:rsid w:val="00465CAD"/>
    <w:rsid w:val="0046760B"/>
    <w:rsid w:val="0046D8D3"/>
    <w:rsid w:val="00472108"/>
    <w:rsid w:val="00474DBA"/>
    <w:rsid w:val="00474FD9"/>
    <w:rsid w:val="00475C7C"/>
    <w:rsid w:val="00480F54"/>
    <w:rsid w:val="00481BEB"/>
    <w:rsid w:val="00482FA2"/>
    <w:rsid w:val="00483098"/>
    <w:rsid w:val="004843D2"/>
    <w:rsid w:val="00484F89"/>
    <w:rsid w:val="00485FDD"/>
    <w:rsid w:val="004862E3"/>
    <w:rsid w:val="004875CD"/>
    <w:rsid w:val="004903FE"/>
    <w:rsid w:val="004904F6"/>
    <w:rsid w:val="00490B17"/>
    <w:rsid w:val="004936D2"/>
    <w:rsid w:val="004943C2"/>
    <w:rsid w:val="00494487"/>
    <w:rsid w:val="0049770C"/>
    <w:rsid w:val="004A0984"/>
    <w:rsid w:val="004A2570"/>
    <w:rsid w:val="004A3B6F"/>
    <w:rsid w:val="004A3C49"/>
    <w:rsid w:val="004A431C"/>
    <w:rsid w:val="004A57B2"/>
    <w:rsid w:val="004A5E27"/>
    <w:rsid w:val="004A73DD"/>
    <w:rsid w:val="004B0309"/>
    <w:rsid w:val="004B154E"/>
    <w:rsid w:val="004B215F"/>
    <w:rsid w:val="004B2D2D"/>
    <w:rsid w:val="004B3F4F"/>
    <w:rsid w:val="004B4E96"/>
    <w:rsid w:val="004B5A53"/>
    <w:rsid w:val="004B6190"/>
    <w:rsid w:val="004B6520"/>
    <w:rsid w:val="004B71A0"/>
    <w:rsid w:val="004B7930"/>
    <w:rsid w:val="004B79C1"/>
    <w:rsid w:val="004C025F"/>
    <w:rsid w:val="004C04A1"/>
    <w:rsid w:val="004C1461"/>
    <w:rsid w:val="004C1832"/>
    <w:rsid w:val="004C589F"/>
    <w:rsid w:val="004C60B6"/>
    <w:rsid w:val="004C6B84"/>
    <w:rsid w:val="004C6CB1"/>
    <w:rsid w:val="004C6F03"/>
    <w:rsid w:val="004C6F31"/>
    <w:rsid w:val="004C79CC"/>
    <w:rsid w:val="004C7A2C"/>
    <w:rsid w:val="004D238D"/>
    <w:rsid w:val="004D2808"/>
    <w:rsid w:val="004D439F"/>
    <w:rsid w:val="004D4EC0"/>
    <w:rsid w:val="004D5429"/>
    <w:rsid w:val="004D5B57"/>
    <w:rsid w:val="004D7CE7"/>
    <w:rsid w:val="004E0836"/>
    <w:rsid w:val="004E1576"/>
    <w:rsid w:val="004E16E8"/>
    <w:rsid w:val="004E1E2E"/>
    <w:rsid w:val="004E3EB8"/>
    <w:rsid w:val="004E3F6C"/>
    <w:rsid w:val="004E518E"/>
    <w:rsid w:val="004E5D02"/>
    <w:rsid w:val="004E5F46"/>
    <w:rsid w:val="004E664D"/>
    <w:rsid w:val="004E719D"/>
    <w:rsid w:val="004F0204"/>
    <w:rsid w:val="004F0CF4"/>
    <w:rsid w:val="004F2909"/>
    <w:rsid w:val="004F554B"/>
    <w:rsid w:val="004F6090"/>
    <w:rsid w:val="004F619D"/>
    <w:rsid w:val="004F7D37"/>
    <w:rsid w:val="004F7ED9"/>
    <w:rsid w:val="0050020C"/>
    <w:rsid w:val="00500C88"/>
    <w:rsid w:val="00501E4B"/>
    <w:rsid w:val="00501EFE"/>
    <w:rsid w:val="00505CF3"/>
    <w:rsid w:val="005064D3"/>
    <w:rsid w:val="00506697"/>
    <w:rsid w:val="00506B13"/>
    <w:rsid w:val="00506BC9"/>
    <w:rsid w:val="00511986"/>
    <w:rsid w:val="005134E1"/>
    <w:rsid w:val="00513C08"/>
    <w:rsid w:val="00515006"/>
    <w:rsid w:val="005167AD"/>
    <w:rsid w:val="005179ED"/>
    <w:rsid w:val="00517CE1"/>
    <w:rsid w:val="00520A0A"/>
    <w:rsid w:val="00522E80"/>
    <w:rsid w:val="005242A7"/>
    <w:rsid w:val="0052683F"/>
    <w:rsid w:val="00526A7F"/>
    <w:rsid w:val="0053244D"/>
    <w:rsid w:val="00533EEC"/>
    <w:rsid w:val="00536E73"/>
    <w:rsid w:val="005370CC"/>
    <w:rsid w:val="00540F3A"/>
    <w:rsid w:val="005412DF"/>
    <w:rsid w:val="005431DF"/>
    <w:rsid w:val="00543276"/>
    <w:rsid w:val="005433C5"/>
    <w:rsid w:val="005447C1"/>
    <w:rsid w:val="00544E78"/>
    <w:rsid w:val="00545F56"/>
    <w:rsid w:val="00547141"/>
    <w:rsid w:val="005500A0"/>
    <w:rsid w:val="00550E9A"/>
    <w:rsid w:val="00551364"/>
    <w:rsid w:val="00553220"/>
    <w:rsid w:val="0055345C"/>
    <w:rsid w:val="005549CD"/>
    <w:rsid w:val="00555B85"/>
    <w:rsid w:val="00557160"/>
    <w:rsid w:val="00557418"/>
    <w:rsid w:val="0055760D"/>
    <w:rsid w:val="00557723"/>
    <w:rsid w:val="0056362C"/>
    <w:rsid w:val="00563A8C"/>
    <w:rsid w:val="00563CBC"/>
    <w:rsid w:val="00570F5C"/>
    <w:rsid w:val="005713E3"/>
    <w:rsid w:val="00571840"/>
    <w:rsid w:val="00571B79"/>
    <w:rsid w:val="00571D4A"/>
    <w:rsid w:val="0057371C"/>
    <w:rsid w:val="0057398F"/>
    <w:rsid w:val="00573C2F"/>
    <w:rsid w:val="00574ACB"/>
    <w:rsid w:val="005756D4"/>
    <w:rsid w:val="00576780"/>
    <w:rsid w:val="00577F13"/>
    <w:rsid w:val="0058033F"/>
    <w:rsid w:val="00581CDC"/>
    <w:rsid w:val="00583284"/>
    <w:rsid w:val="00583B78"/>
    <w:rsid w:val="00585BD7"/>
    <w:rsid w:val="00585FEC"/>
    <w:rsid w:val="00587F26"/>
    <w:rsid w:val="0059025E"/>
    <w:rsid w:val="005910AA"/>
    <w:rsid w:val="005924B6"/>
    <w:rsid w:val="00592CFF"/>
    <w:rsid w:val="00597735"/>
    <w:rsid w:val="005A0351"/>
    <w:rsid w:val="005A04F0"/>
    <w:rsid w:val="005A0E1B"/>
    <w:rsid w:val="005A1930"/>
    <w:rsid w:val="005A2426"/>
    <w:rsid w:val="005A27DF"/>
    <w:rsid w:val="005A32FC"/>
    <w:rsid w:val="005A3B5B"/>
    <w:rsid w:val="005A4ACC"/>
    <w:rsid w:val="005A699D"/>
    <w:rsid w:val="005A6B99"/>
    <w:rsid w:val="005A7273"/>
    <w:rsid w:val="005A72C3"/>
    <w:rsid w:val="005A753D"/>
    <w:rsid w:val="005B02FD"/>
    <w:rsid w:val="005B1EB6"/>
    <w:rsid w:val="005B4404"/>
    <w:rsid w:val="005B616E"/>
    <w:rsid w:val="005B656B"/>
    <w:rsid w:val="005B71E9"/>
    <w:rsid w:val="005B76FA"/>
    <w:rsid w:val="005C24C4"/>
    <w:rsid w:val="005C3A30"/>
    <w:rsid w:val="005C5235"/>
    <w:rsid w:val="005C5F0D"/>
    <w:rsid w:val="005C7196"/>
    <w:rsid w:val="005D3A22"/>
    <w:rsid w:val="005D3A3C"/>
    <w:rsid w:val="005D5CE2"/>
    <w:rsid w:val="005D6B2F"/>
    <w:rsid w:val="005E20D6"/>
    <w:rsid w:val="005E40B2"/>
    <w:rsid w:val="005E4A88"/>
    <w:rsid w:val="005E5424"/>
    <w:rsid w:val="005F00F3"/>
    <w:rsid w:val="005F0509"/>
    <w:rsid w:val="005F17C7"/>
    <w:rsid w:val="005F1991"/>
    <w:rsid w:val="005F19E6"/>
    <w:rsid w:val="005F491C"/>
    <w:rsid w:val="005F5F45"/>
    <w:rsid w:val="005F6326"/>
    <w:rsid w:val="005F63F6"/>
    <w:rsid w:val="005F6786"/>
    <w:rsid w:val="005F74D0"/>
    <w:rsid w:val="00600684"/>
    <w:rsid w:val="00602E2B"/>
    <w:rsid w:val="00602E88"/>
    <w:rsid w:val="0060318F"/>
    <w:rsid w:val="00604BDB"/>
    <w:rsid w:val="00604E39"/>
    <w:rsid w:val="00605CAE"/>
    <w:rsid w:val="006066A9"/>
    <w:rsid w:val="0060758F"/>
    <w:rsid w:val="00610C40"/>
    <w:rsid w:val="00611091"/>
    <w:rsid w:val="00611284"/>
    <w:rsid w:val="00612A24"/>
    <w:rsid w:val="00615DDD"/>
    <w:rsid w:val="00620144"/>
    <w:rsid w:val="006216C6"/>
    <w:rsid w:val="00623883"/>
    <w:rsid w:val="00623ABE"/>
    <w:rsid w:val="00623EE6"/>
    <w:rsid w:val="0062431C"/>
    <w:rsid w:val="006263D3"/>
    <w:rsid w:val="006308FF"/>
    <w:rsid w:val="0063181C"/>
    <w:rsid w:val="00631D04"/>
    <w:rsid w:val="0063382B"/>
    <w:rsid w:val="0063466C"/>
    <w:rsid w:val="00634F0B"/>
    <w:rsid w:val="006350ED"/>
    <w:rsid w:val="006359E4"/>
    <w:rsid w:val="00636208"/>
    <w:rsid w:val="0063726D"/>
    <w:rsid w:val="00640342"/>
    <w:rsid w:val="00640794"/>
    <w:rsid w:val="00642240"/>
    <w:rsid w:val="006423C3"/>
    <w:rsid w:val="00642992"/>
    <w:rsid w:val="00642A28"/>
    <w:rsid w:val="0064378F"/>
    <w:rsid w:val="0064429E"/>
    <w:rsid w:val="00644958"/>
    <w:rsid w:val="00645D12"/>
    <w:rsid w:val="0065287F"/>
    <w:rsid w:val="00652AA6"/>
    <w:rsid w:val="00657298"/>
    <w:rsid w:val="006613E8"/>
    <w:rsid w:val="00661D1F"/>
    <w:rsid w:val="00661FC9"/>
    <w:rsid w:val="006649CB"/>
    <w:rsid w:val="00667568"/>
    <w:rsid w:val="00670A63"/>
    <w:rsid w:val="00673EC8"/>
    <w:rsid w:val="0067494E"/>
    <w:rsid w:val="00675183"/>
    <w:rsid w:val="006756A6"/>
    <w:rsid w:val="00677357"/>
    <w:rsid w:val="006827D8"/>
    <w:rsid w:val="006835C5"/>
    <w:rsid w:val="006858EB"/>
    <w:rsid w:val="00686186"/>
    <w:rsid w:val="00687184"/>
    <w:rsid w:val="006872A2"/>
    <w:rsid w:val="00691CEA"/>
    <w:rsid w:val="006929A1"/>
    <w:rsid w:val="00692E7D"/>
    <w:rsid w:val="0069316C"/>
    <w:rsid w:val="00694CC6"/>
    <w:rsid w:val="006952C8"/>
    <w:rsid w:val="00695433"/>
    <w:rsid w:val="00695444"/>
    <w:rsid w:val="006977B9"/>
    <w:rsid w:val="006A10E0"/>
    <w:rsid w:val="006A1E17"/>
    <w:rsid w:val="006A3976"/>
    <w:rsid w:val="006A55B1"/>
    <w:rsid w:val="006A5E0F"/>
    <w:rsid w:val="006A6BDD"/>
    <w:rsid w:val="006A7066"/>
    <w:rsid w:val="006A7757"/>
    <w:rsid w:val="006A7C59"/>
    <w:rsid w:val="006B20DD"/>
    <w:rsid w:val="006B2CC2"/>
    <w:rsid w:val="006B40D2"/>
    <w:rsid w:val="006B5199"/>
    <w:rsid w:val="006B6C76"/>
    <w:rsid w:val="006B6CCA"/>
    <w:rsid w:val="006C1F8C"/>
    <w:rsid w:val="006C2F48"/>
    <w:rsid w:val="006C5091"/>
    <w:rsid w:val="006C52DD"/>
    <w:rsid w:val="006C746E"/>
    <w:rsid w:val="006C7D47"/>
    <w:rsid w:val="006C7F87"/>
    <w:rsid w:val="006D059E"/>
    <w:rsid w:val="006D0D24"/>
    <w:rsid w:val="006D0F1F"/>
    <w:rsid w:val="006D1D06"/>
    <w:rsid w:val="006D2771"/>
    <w:rsid w:val="006D31C4"/>
    <w:rsid w:val="006D3803"/>
    <w:rsid w:val="006D47E9"/>
    <w:rsid w:val="006D4B52"/>
    <w:rsid w:val="006D6389"/>
    <w:rsid w:val="006E0540"/>
    <w:rsid w:val="006E0A81"/>
    <w:rsid w:val="006E10E5"/>
    <w:rsid w:val="006E177B"/>
    <w:rsid w:val="006E1CC6"/>
    <w:rsid w:val="006E2738"/>
    <w:rsid w:val="006E2D2F"/>
    <w:rsid w:val="006E39C2"/>
    <w:rsid w:val="006E4842"/>
    <w:rsid w:val="006E4E6E"/>
    <w:rsid w:val="006E5885"/>
    <w:rsid w:val="006E6CF7"/>
    <w:rsid w:val="006F19C2"/>
    <w:rsid w:val="006F20DF"/>
    <w:rsid w:val="006F3AED"/>
    <w:rsid w:val="006F3F32"/>
    <w:rsid w:val="006F40D6"/>
    <w:rsid w:val="006F4690"/>
    <w:rsid w:val="006F5A4D"/>
    <w:rsid w:val="006F5D20"/>
    <w:rsid w:val="00702E4E"/>
    <w:rsid w:val="00703F16"/>
    <w:rsid w:val="00704237"/>
    <w:rsid w:val="00704639"/>
    <w:rsid w:val="00706ADF"/>
    <w:rsid w:val="0070730E"/>
    <w:rsid w:val="00707C13"/>
    <w:rsid w:val="007128E4"/>
    <w:rsid w:val="007133D1"/>
    <w:rsid w:val="00713553"/>
    <w:rsid w:val="00714F39"/>
    <w:rsid w:val="007152AD"/>
    <w:rsid w:val="00715B5B"/>
    <w:rsid w:val="00715FD6"/>
    <w:rsid w:val="00717155"/>
    <w:rsid w:val="00717453"/>
    <w:rsid w:val="007178A0"/>
    <w:rsid w:val="007215E6"/>
    <w:rsid w:val="00721CEF"/>
    <w:rsid w:val="00722EA4"/>
    <w:rsid w:val="00723AFD"/>
    <w:rsid w:val="00725A9E"/>
    <w:rsid w:val="007301A7"/>
    <w:rsid w:val="0073123B"/>
    <w:rsid w:val="00731A24"/>
    <w:rsid w:val="00733137"/>
    <w:rsid w:val="00733A6F"/>
    <w:rsid w:val="00734D09"/>
    <w:rsid w:val="00734EC9"/>
    <w:rsid w:val="00735298"/>
    <w:rsid w:val="00736859"/>
    <w:rsid w:val="00737066"/>
    <w:rsid w:val="007371A5"/>
    <w:rsid w:val="0074157D"/>
    <w:rsid w:val="00741A8F"/>
    <w:rsid w:val="0074227E"/>
    <w:rsid w:val="00743B63"/>
    <w:rsid w:val="00743F26"/>
    <w:rsid w:val="0074525A"/>
    <w:rsid w:val="00745CC1"/>
    <w:rsid w:val="00745FA1"/>
    <w:rsid w:val="007466FA"/>
    <w:rsid w:val="00746997"/>
    <w:rsid w:val="00746AED"/>
    <w:rsid w:val="0074784C"/>
    <w:rsid w:val="00747D71"/>
    <w:rsid w:val="0075130C"/>
    <w:rsid w:val="007516BD"/>
    <w:rsid w:val="00754460"/>
    <w:rsid w:val="00755D01"/>
    <w:rsid w:val="00756063"/>
    <w:rsid w:val="00756E35"/>
    <w:rsid w:val="007642B6"/>
    <w:rsid w:val="007656B0"/>
    <w:rsid w:val="00767255"/>
    <w:rsid w:val="00772084"/>
    <w:rsid w:val="007727AD"/>
    <w:rsid w:val="007730D3"/>
    <w:rsid w:val="0077312E"/>
    <w:rsid w:val="00773331"/>
    <w:rsid w:val="0078133F"/>
    <w:rsid w:val="007828C1"/>
    <w:rsid w:val="00784E20"/>
    <w:rsid w:val="007861B3"/>
    <w:rsid w:val="00786F01"/>
    <w:rsid w:val="00787171"/>
    <w:rsid w:val="00790FA2"/>
    <w:rsid w:val="007914E9"/>
    <w:rsid w:val="007932EF"/>
    <w:rsid w:val="00793C9C"/>
    <w:rsid w:val="00794613"/>
    <w:rsid w:val="0079494B"/>
    <w:rsid w:val="0079497B"/>
    <w:rsid w:val="0079675B"/>
    <w:rsid w:val="007A1120"/>
    <w:rsid w:val="007A136C"/>
    <w:rsid w:val="007A1F5D"/>
    <w:rsid w:val="007A3BC2"/>
    <w:rsid w:val="007A5FE1"/>
    <w:rsid w:val="007A6B52"/>
    <w:rsid w:val="007B020C"/>
    <w:rsid w:val="007B13B9"/>
    <w:rsid w:val="007B1436"/>
    <w:rsid w:val="007B2A53"/>
    <w:rsid w:val="007B30AD"/>
    <w:rsid w:val="007B3427"/>
    <w:rsid w:val="007B3434"/>
    <w:rsid w:val="007B433C"/>
    <w:rsid w:val="007B4D89"/>
    <w:rsid w:val="007B5C77"/>
    <w:rsid w:val="007B71BD"/>
    <w:rsid w:val="007B73FD"/>
    <w:rsid w:val="007B7660"/>
    <w:rsid w:val="007C1084"/>
    <w:rsid w:val="007C2EAE"/>
    <w:rsid w:val="007C456C"/>
    <w:rsid w:val="007C4B7B"/>
    <w:rsid w:val="007C593B"/>
    <w:rsid w:val="007C5FF4"/>
    <w:rsid w:val="007C61C2"/>
    <w:rsid w:val="007C6D5B"/>
    <w:rsid w:val="007C6E35"/>
    <w:rsid w:val="007C6E74"/>
    <w:rsid w:val="007C77BB"/>
    <w:rsid w:val="007C7969"/>
    <w:rsid w:val="007D1565"/>
    <w:rsid w:val="007D52C0"/>
    <w:rsid w:val="007D624F"/>
    <w:rsid w:val="007D6268"/>
    <w:rsid w:val="007D7094"/>
    <w:rsid w:val="007D77A3"/>
    <w:rsid w:val="007E05B0"/>
    <w:rsid w:val="007E098D"/>
    <w:rsid w:val="007E0C0B"/>
    <w:rsid w:val="007E1579"/>
    <w:rsid w:val="007E25C5"/>
    <w:rsid w:val="007E50C5"/>
    <w:rsid w:val="007E57E8"/>
    <w:rsid w:val="007E687F"/>
    <w:rsid w:val="007E6EAF"/>
    <w:rsid w:val="007F0364"/>
    <w:rsid w:val="007F1E72"/>
    <w:rsid w:val="007F28A6"/>
    <w:rsid w:val="007F2AB1"/>
    <w:rsid w:val="007F366D"/>
    <w:rsid w:val="007F44A2"/>
    <w:rsid w:val="007F70A8"/>
    <w:rsid w:val="008000A6"/>
    <w:rsid w:val="00802A33"/>
    <w:rsid w:val="00802A36"/>
    <w:rsid w:val="00802BA5"/>
    <w:rsid w:val="00802ED3"/>
    <w:rsid w:val="00804731"/>
    <w:rsid w:val="0080569C"/>
    <w:rsid w:val="00807DF1"/>
    <w:rsid w:val="00810FAE"/>
    <w:rsid w:val="00811345"/>
    <w:rsid w:val="00811651"/>
    <w:rsid w:val="00811698"/>
    <w:rsid w:val="00812778"/>
    <w:rsid w:val="00812C7A"/>
    <w:rsid w:val="00813F39"/>
    <w:rsid w:val="00814399"/>
    <w:rsid w:val="0081643A"/>
    <w:rsid w:val="00816A97"/>
    <w:rsid w:val="00817585"/>
    <w:rsid w:val="00820DCA"/>
    <w:rsid w:val="00822A4D"/>
    <w:rsid w:val="00823EA1"/>
    <w:rsid w:val="008241FF"/>
    <w:rsid w:val="0082482F"/>
    <w:rsid w:val="00825B25"/>
    <w:rsid w:val="00827933"/>
    <w:rsid w:val="00832765"/>
    <w:rsid w:val="0083506F"/>
    <w:rsid w:val="0083560A"/>
    <w:rsid w:val="008356E3"/>
    <w:rsid w:val="00835E98"/>
    <w:rsid w:val="00837013"/>
    <w:rsid w:val="00837BB1"/>
    <w:rsid w:val="00837F32"/>
    <w:rsid w:val="008434AF"/>
    <w:rsid w:val="00843C73"/>
    <w:rsid w:val="008453C6"/>
    <w:rsid w:val="00845487"/>
    <w:rsid w:val="008455CB"/>
    <w:rsid w:val="00845B88"/>
    <w:rsid w:val="00845EC0"/>
    <w:rsid w:val="0084655F"/>
    <w:rsid w:val="008468FC"/>
    <w:rsid w:val="008524BF"/>
    <w:rsid w:val="00853D43"/>
    <w:rsid w:val="00854D24"/>
    <w:rsid w:val="00855B41"/>
    <w:rsid w:val="00855FB8"/>
    <w:rsid w:val="00860841"/>
    <w:rsid w:val="00861990"/>
    <w:rsid w:val="00861DCE"/>
    <w:rsid w:val="0086385F"/>
    <w:rsid w:val="00863F9C"/>
    <w:rsid w:val="00865139"/>
    <w:rsid w:val="00867560"/>
    <w:rsid w:val="008709B0"/>
    <w:rsid w:val="00871514"/>
    <w:rsid w:val="00873985"/>
    <w:rsid w:val="008740BD"/>
    <w:rsid w:val="00874CC4"/>
    <w:rsid w:val="00874D22"/>
    <w:rsid w:val="00875596"/>
    <w:rsid w:val="00880A20"/>
    <w:rsid w:val="00880DA5"/>
    <w:rsid w:val="008811B7"/>
    <w:rsid w:val="0088141B"/>
    <w:rsid w:val="008841FC"/>
    <w:rsid w:val="00884905"/>
    <w:rsid w:val="008850A8"/>
    <w:rsid w:val="00886024"/>
    <w:rsid w:val="00886DC7"/>
    <w:rsid w:val="008879D0"/>
    <w:rsid w:val="00893427"/>
    <w:rsid w:val="00894C82"/>
    <w:rsid w:val="00895319"/>
    <w:rsid w:val="00895E21"/>
    <w:rsid w:val="008A2914"/>
    <w:rsid w:val="008A34A6"/>
    <w:rsid w:val="008A3A27"/>
    <w:rsid w:val="008A4637"/>
    <w:rsid w:val="008A4B56"/>
    <w:rsid w:val="008A67AB"/>
    <w:rsid w:val="008A6B8D"/>
    <w:rsid w:val="008B02B1"/>
    <w:rsid w:val="008B296F"/>
    <w:rsid w:val="008B321E"/>
    <w:rsid w:val="008B4191"/>
    <w:rsid w:val="008B4C7F"/>
    <w:rsid w:val="008B63A4"/>
    <w:rsid w:val="008B777C"/>
    <w:rsid w:val="008B7D46"/>
    <w:rsid w:val="008C00A7"/>
    <w:rsid w:val="008C0327"/>
    <w:rsid w:val="008C08B4"/>
    <w:rsid w:val="008C209D"/>
    <w:rsid w:val="008C21A0"/>
    <w:rsid w:val="008C2600"/>
    <w:rsid w:val="008C2676"/>
    <w:rsid w:val="008C2EE2"/>
    <w:rsid w:val="008C4791"/>
    <w:rsid w:val="008C4FFE"/>
    <w:rsid w:val="008C7FAA"/>
    <w:rsid w:val="008D0917"/>
    <w:rsid w:val="008D1036"/>
    <w:rsid w:val="008D1188"/>
    <w:rsid w:val="008D18C3"/>
    <w:rsid w:val="008D2471"/>
    <w:rsid w:val="008D383B"/>
    <w:rsid w:val="008D3B36"/>
    <w:rsid w:val="008D3C68"/>
    <w:rsid w:val="008D53F3"/>
    <w:rsid w:val="008D56E2"/>
    <w:rsid w:val="008D64C7"/>
    <w:rsid w:val="008D6DED"/>
    <w:rsid w:val="008E101E"/>
    <w:rsid w:val="008E13E1"/>
    <w:rsid w:val="008E1A6E"/>
    <w:rsid w:val="008E2DF3"/>
    <w:rsid w:val="008E3632"/>
    <w:rsid w:val="008E3A18"/>
    <w:rsid w:val="008E4D8E"/>
    <w:rsid w:val="008E52E8"/>
    <w:rsid w:val="008E536B"/>
    <w:rsid w:val="008E6059"/>
    <w:rsid w:val="008E7115"/>
    <w:rsid w:val="008E72B1"/>
    <w:rsid w:val="008E72E6"/>
    <w:rsid w:val="008E732B"/>
    <w:rsid w:val="008E7E13"/>
    <w:rsid w:val="008F0ABE"/>
    <w:rsid w:val="008F19D8"/>
    <w:rsid w:val="008F1FB2"/>
    <w:rsid w:val="008F20CC"/>
    <w:rsid w:val="008F3002"/>
    <w:rsid w:val="008F31E6"/>
    <w:rsid w:val="008F7130"/>
    <w:rsid w:val="008F781A"/>
    <w:rsid w:val="00900985"/>
    <w:rsid w:val="00900CAE"/>
    <w:rsid w:val="00901AC4"/>
    <w:rsid w:val="00903747"/>
    <w:rsid w:val="0090466A"/>
    <w:rsid w:val="00904981"/>
    <w:rsid w:val="00904C6C"/>
    <w:rsid w:val="00904CE4"/>
    <w:rsid w:val="00904F5F"/>
    <w:rsid w:val="00905B2B"/>
    <w:rsid w:val="00906611"/>
    <w:rsid w:val="00907C74"/>
    <w:rsid w:val="00910A31"/>
    <w:rsid w:val="00912B00"/>
    <w:rsid w:val="00913133"/>
    <w:rsid w:val="00913E7F"/>
    <w:rsid w:val="009144F0"/>
    <w:rsid w:val="00916769"/>
    <w:rsid w:val="009179AC"/>
    <w:rsid w:val="0092240E"/>
    <w:rsid w:val="009224F3"/>
    <w:rsid w:val="00922DE6"/>
    <w:rsid w:val="00922EBF"/>
    <w:rsid w:val="00924CC5"/>
    <w:rsid w:val="009253ED"/>
    <w:rsid w:val="00925BC2"/>
    <w:rsid w:val="00925C46"/>
    <w:rsid w:val="0092688C"/>
    <w:rsid w:val="00926D8A"/>
    <w:rsid w:val="00931BAE"/>
    <w:rsid w:val="00932B1E"/>
    <w:rsid w:val="00934666"/>
    <w:rsid w:val="00934B68"/>
    <w:rsid w:val="0093581F"/>
    <w:rsid w:val="0093595F"/>
    <w:rsid w:val="00935ACD"/>
    <w:rsid w:val="00936754"/>
    <w:rsid w:val="0093675A"/>
    <w:rsid w:val="00936E9D"/>
    <w:rsid w:val="00940181"/>
    <w:rsid w:val="00940441"/>
    <w:rsid w:val="0094068A"/>
    <w:rsid w:val="00940ABA"/>
    <w:rsid w:val="009416AA"/>
    <w:rsid w:val="00942B4A"/>
    <w:rsid w:val="00942C3B"/>
    <w:rsid w:val="00942ED0"/>
    <w:rsid w:val="00943752"/>
    <w:rsid w:val="009449DE"/>
    <w:rsid w:val="00944CFD"/>
    <w:rsid w:val="00945022"/>
    <w:rsid w:val="00945E4E"/>
    <w:rsid w:val="00952DE4"/>
    <w:rsid w:val="00962E25"/>
    <w:rsid w:val="00965588"/>
    <w:rsid w:val="00965AE3"/>
    <w:rsid w:val="009668AF"/>
    <w:rsid w:val="00966C9D"/>
    <w:rsid w:val="009715F9"/>
    <w:rsid w:val="0097330F"/>
    <w:rsid w:val="009735F1"/>
    <w:rsid w:val="0097493C"/>
    <w:rsid w:val="00976581"/>
    <w:rsid w:val="00977655"/>
    <w:rsid w:val="00977A98"/>
    <w:rsid w:val="00983693"/>
    <w:rsid w:val="00983ECD"/>
    <w:rsid w:val="00984670"/>
    <w:rsid w:val="009853E2"/>
    <w:rsid w:val="0098787A"/>
    <w:rsid w:val="00990AD3"/>
    <w:rsid w:val="00990BE3"/>
    <w:rsid w:val="00991458"/>
    <w:rsid w:val="0099452F"/>
    <w:rsid w:val="00994C31"/>
    <w:rsid w:val="00996F14"/>
    <w:rsid w:val="009A0CAD"/>
    <w:rsid w:val="009A2097"/>
    <w:rsid w:val="009A20AE"/>
    <w:rsid w:val="009A300B"/>
    <w:rsid w:val="009A555E"/>
    <w:rsid w:val="009A5D40"/>
    <w:rsid w:val="009A6081"/>
    <w:rsid w:val="009A680E"/>
    <w:rsid w:val="009B0967"/>
    <w:rsid w:val="009B1551"/>
    <w:rsid w:val="009B40B2"/>
    <w:rsid w:val="009B4712"/>
    <w:rsid w:val="009B65B4"/>
    <w:rsid w:val="009B6C22"/>
    <w:rsid w:val="009B6FA2"/>
    <w:rsid w:val="009C0353"/>
    <w:rsid w:val="009C089C"/>
    <w:rsid w:val="009C10F6"/>
    <w:rsid w:val="009C1145"/>
    <w:rsid w:val="009C1A5A"/>
    <w:rsid w:val="009C2D67"/>
    <w:rsid w:val="009C4CDB"/>
    <w:rsid w:val="009C6AA8"/>
    <w:rsid w:val="009C7A79"/>
    <w:rsid w:val="009D250A"/>
    <w:rsid w:val="009D28B8"/>
    <w:rsid w:val="009D2997"/>
    <w:rsid w:val="009D2C64"/>
    <w:rsid w:val="009D46E9"/>
    <w:rsid w:val="009D52F8"/>
    <w:rsid w:val="009D54F2"/>
    <w:rsid w:val="009D5AEF"/>
    <w:rsid w:val="009E05C0"/>
    <w:rsid w:val="009E08C1"/>
    <w:rsid w:val="009E0B1F"/>
    <w:rsid w:val="009E0DD1"/>
    <w:rsid w:val="009E26EF"/>
    <w:rsid w:val="009E354A"/>
    <w:rsid w:val="009E4A12"/>
    <w:rsid w:val="009E4DA8"/>
    <w:rsid w:val="009E53C0"/>
    <w:rsid w:val="009E7CD6"/>
    <w:rsid w:val="009E7D4A"/>
    <w:rsid w:val="009F10DC"/>
    <w:rsid w:val="009F2907"/>
    <w:rsid w:val="009F433B"/>
    <w:rsid w:val="009F52F4"/>
    <w:rsid w:val="009F6089"/>
    <w:rsid w:val="009F6183"/>
    <w:rsid w:val="00A00974"/>
    <w:rsid w:val="00A012DB"/>
    <w:rsid w:val="00A02DDF"/>
    <w:rsid w:val="00A05708"/>
    <w:rsid w:val="00A060FE"/>
    <w:rsid w:val="00A06660"/>
    <w:rsid w:val="00A06AF3"/>
    <w:rsid w:val="00A079C5"/>
    <w:rsid w:val="00A07B18"/>
    <w:rsid w:val="00A10F69"/>
    <w:rsid w:val="00A114CA"/>
    <w:rsid w:val="00A11866"/>
    <w:rsid w:val="00A11962"/>
    <w:rsid w:val="00A11A24"/>
    <w:rsid w:val="00A128B6"/>
    <w:rsid w:val="00A147FF"/>
    <w:rsid w:val="00A15A0A"/>
    <w:rsid w:val="00A15B45"/>
    <w:rsid w:val="00A17DF3"/>
    <w:rsid w:val="00A248F9"/>
    <w:rsid w:val="00A25630"/>
    <w:rsid w:val="00A262DC"/>
    <w:rsid w:val="00A30178"/>
    <w:rsid w:val="00A30600"/>
    <w:rsid w:val="00A30C5A"/>
    <w:rsid w:val="00A31A60"/>
    <w:rsid w:val="00A31A9D"/>
    <w:rsid w:val="00A34B71"/>
    <w:rsid w:val="00A3550E"/>
    <w:rsid w:val="00A35711"/>
    <w:rsid w:val="00A36F5F"/>
    <w:rsid w:val="00A37905"/>
    <w:rsid w:val="00A3793C"/>
    <w:rsid w:val="00A40EC9"/>
    <w:rsid w:val="00A427AE"/>
    <w:rsid w:val="00A42B5F"/>
    <w:rsid w:val="00A44F76"/>
    <w:rsid w:val="00A45203"/>
    <w:rsid w:val="00A462AA"/>
    <w:rsid w:val="00A50270"/>
    <w:rsid w:val="00A51639"/>
    <w:rsid w:val="00A5183C"/>
    <w:rsid w:val="00A51CD1"/>
    <w:rsid w:val="00A53D73"/>
    <w:rsid w:val="00A53DB0"/>
    <w:rsid w:val="00A55447"/>
    <w:rsid w:val="00A56AE4"/>
    <w:rsid w:val="00A57C4F"/>
    <w:rsid w:val="00A61532"/>
    <w:rsid w:val="00A61AA3"/>
    <w:rsid w:val="00A620E6"/>
    <w:rsid w:val="00A62C05"/>
    <w:rsid w:val="00A639EC"/>
    <w:rsid w:val="00A658C9"/>
    <w:rsid w:val="00A65B7E"/>
    <w:rsid w:val="00A65D61"/>
    <w:rsid w:val="00A6607D"/>
    <w:rsid w:val="00A66193"/>
    <w:rsid w:val="00A67601"/>
    <w:rsid w:val="00A67FB0"/>
    <w:rsid w:val="00A7003E"/>
    <w:rsid w:val="00A70286"/>
    <w:rsid w:val="00A718DA"/>
    <w:rsid w:val="00A71B9A"/>
    <w:rsid w:val="00A722D5"/>
    <w:rsid w:val="00A7336F"/>
    <w:rsid w:val="00A737A6"/>
    <w:rsid w:val="00A74697"/>
    <w:rsid w:val="00A77983"/>
    <w:rsid w:val="00A829DC"/>
    <w:rsid w:val="00A82F83"/>
    <w:rsid w:val="00A82FCB"/>
    <w:rsid w:val="00A84534"/>
    <w:rsid w:val="00A85C5A"/>
    <w:rsid w:val="00A866B7"/>
    <w:rsid w:val="00A8731F"/>
    <w:rsid w:val="00A90166"/>
    <w:rsid w:val="00A90D3C"/>
    <w:rsid w:val="00A92320"/>
    <w:rsid w:val="00A9257D"/>
    <w:rsid w:val="00A92930"/>
    <w:rsid w:val="00A92FC4"/>
    <w:rsid w:val="00A933E6"/>
    <w:rsid w:val="00A94DB7"/>
    <w:rsid w:val="00A957BF"/>
    <w:rsid w:val="00A95895"/>
    <w:rsid w:val="00A95E9D"/>
    <w:rsid w:val="00A9680D"/>
    <w:rsid w:val="00A96E4B"/>
    <w:rsid w:val="00A9751B"/>
    <w:rsid w:val="00AA1D88"/>
    <w:rsid w:val="00AA3588"/>
    <w:rsid w:val="00AA41A4"/>
    <w:rsid w:val="00AA4BEE"/>
    <w:rsid w:val="00AA5F76"/>
    <w:rsid w:val="00AA6233"/>
    <w:rsid w:val="00AA6E1D"/>
    <w:rsid w:val="00AB0F2C"/>
    <w:rsid w:val="00AB132F"/>
    <w:rsid w:val="00AB138D"/>
    <w:rsid w:val="00AB1B46"/>
    <w:rsid w:val="00AB1C5C"/>
    <w:rsid w:val="00AB1D4C"/>
    <w:rsid w:val="00AB4C85"/>
    <w:rsid w:val="00AC259E"/>
    <w:rsid w:val="00AC5AE5"/>
    <w:rsid w:val="00AC7182"/>
    <w:rsid w:val="00AC7306"/>
    <w:rsid w:val="00AD36C2"/>
    <w:rsid w:val="00AD5B97"/>
    <w:rsid w:val="00AD5E0F"/>
    <w:rsid w:val="00AD64AD"/>
    <w:rsid w:val="00AD76B3"/>
    <w:rsid w:val="00AD7CCF"/>
    <w:rsid w:val="00AE0A37"/>
    <w:rsid w:val="00AE0C15"/>
    <w:rsid w:val="00AE1132"/>
    <w:rsid w:val="00AE1834"/>
    <w:rsid w:val="00AE1A0D"/>
    <w:rsid w:val="00AE1A77"/>
    <w:rsid w:val="00AE2292"/>
    <w:rsid w:val="00AE23DB"/>
    <w:rsid w:val="00AE4033"/>
    <w:rsid w:val="00AE44DE"/>
    <w:rsid w:val="00AE50CB"/>
    <w:rsid w:val="00AE59CE"/>
    <w:rsid w:val="00AE5E8C"/>
    <w:rsid w:val="00AF019D"/>
    <w:rsid w:val="00AF01ED"/>
    <w:rsid w:val="00AF150D"/>
    <w:rsid w:val="00AF3DF5"/>
    <w:rsid w:val="00AF4474"/>
    <w:rsid w:val="00AF4EAD"/>
    <w:rsid w:val="00AF594C"/>
    <w:rsid w:val="00AF7735"/>
    <w:rsid w:val="00B03C8F"/>
    <w:rsid w:val="00B040B8"/>
    <w:rsid w:val="00B056A8"/>
    <w:rsid w:val="00B05D0C"/>
    <w:rsid w:val="00B07DBB"/>
    <w:rsid w:val="00B106D5"/>
    <w:rsid w:val="00B10B56"/>
    <w:rsid w:val="00B116D7"/>
    <w:rsid w:val="00B1232C"/>
    <w:rsid w:val="00B12ACA"/>
    <w:rsid w:val="00B13113"/>
    <w:rsid w:val="00B17BDC"/>
    <w:rsid w:val="00B20278"/>
    <w:rsid w:val="00B20A53"/>
    <w:rsid w:val="00B21110"/>
    <w:rsid w:val="00B222D4"/>
    <w:rsid w:val="00B23152"/>
    <w:rsid w:val="00B23FB7"/>
    <w:rsid w:val="00B24620"/>
    <w:rsid w:val="00B2532E"/>
    <w:rsid w:val="00B2561A"/>
    <w:rsid w:val="00B26ACA"/>
    <w:rsid w:val="00B27771"/>
    <w:rsid w:val="00B27BB2"/>
    <w:rsid w:val="00B30647"/>
    <w:rsid w:val="00B31215"/>
    <w:rsid w:val="00B319F8"/>
    <w:rsid w:val="00B32361"/>
    <w:rsid w:val="00B32998"/>
    <w:rsid w:val="00B342D1"/>
    <w:rsid w:val="00B3506B"/>
    <w:rsid w:val="00B3561A"/>
    <w:rsid w:val="00B36088"/>
    <w:rsid w:val="00B416CA"/>
    <w:rsid w:val="00B433D3"/>
    <w:rsid w:val="00B436CC"/>
    <w:rsid w:val="00B4581A"/>
    <w:rsid w:val="00B513C6"/>
    <w:rsid w:val="00B52CFF"/>
    <w:rsid w:val="00B53217"/>
    <w:rsid w:val="00B545FA"/>
    <w:rsid w:val="00B54773"/>
    <w:rsid w:val="00B570FB"/>
    <w:rsid w:val="00B60AB0"/>
    <w:rsid w:val="00B613BC"/>
    <w:rsid w:val="00B61F2B"/>
    <w:rsid w:val="00B62B52"/>
    <w:rsid w:val="00B63F3A"/>
    <w:rsid w:val="00B642C2"/>
    <w:rsid w:val="00B645C4"/>
    <w:rsid w:val="00B71A85"/>
    <w:rsid w:val="00B72063"/>
    <w:rsid w:val="00B72FBE"/>
    <w:rsid w:val="00B73EA3"/>
    <w:rsid w:val="00B74C91"/>
    <w:rsid w:val="00B74DE3"/>
    <w:rsid w:val="00B75FF1"/>
    <w:rsid w:val="00B7670F"/>
    <w:rsid w:val="00B81E75"/>
    <w:rsid w:val="00B84DDE"/>
    <w:rsid w:val="00B8576D"/>
    <w:rsid w:val="00B86042"/>
    <w:rsid w:val="00B901BC"/>
    <w:rsid w:val="00B90811"/>
    <w:rsid w:val="00B90EDD"/>
    <w:rsid w:val="00B932D9"/>
    <w:rsid w:val="00B94DEC"/>
    <w:rsid w:val="00BA0A9C"/>
    <w:rsid w:val="00BA13F5"/>
    <w:rsid w:val="00BA1468"/>
    <w:rsid w:val="00BA20DE"/>
    <w:rsid w:val="00BA2DA1"/>
    <w:rsid w:val="00BA4AB2"/>
    <w:rsid w:val="00BA5DE4"/>
    <w:rsid w:val="00BA6036"/>
    <w:rsid w:val="00BA76ED"/>
    <w:rsid w:val="00BB1ACA"/>
    <w:rsid w:val="00BB1CDB"/>
    <w:rsid w:val="00BB2B5A"/>
    <w:rsid w:val="00BB3340"/>
    <w:rsid w:val="00BB4247"/>
    <w:rsid w:val="00BB5587"/>
    <w:rsid w:val="00BB67B0"/>
    <w:rsid w:val="00BB78C3"/>
    <w:rsid w:val="00BB79D3"/>
    <w:rsid w:val="00BC0D45"/>
    <w:rsid w:val="00BC2798"/>
    <w:rsid w:val="00BC2F6B"/>
    <w:rsid w:val="00BC32A2"/>
    <w:rsid w:val="00BC403E"/>
    <w:rsid w:val="00BD0E3E"/>
    <w:rsid w:val="00BD18D6"/>
    <w:rsid w:val="00BD1F70"/>
    <w:rsid w:val="00BD28D1"/>
    <w:rsid w:val="00BD2BBF"/>
    <w:rsid w:val="00BD45E0"/>
    <w:rsid w:val="00BD590B"/>
    <w:rsid w:val="00BD617C"/>
    <w:rsid w:val="00BD79B0"/>
    <w:rsid w:val="00BE09CF"/>
    <w:rsid w:val="00BE1F00"/>
    <w:rsid w:val="00BE25DF"/>
    <w:rsid w:val="00BE2F1D"/>
    <w:rsid w:val="00BE3D2A"/>
    <w:rsid w:val="00BE3EF5"/>
    <w:rsid w:val="00BE4BEA"/>
    <w:rsid w:val="00BE518B"/>
    <w:rsid w:val="00BE63E4"/>
    <w:rsid w:val="00BF07EC"/>
    <w:rsid w:val="00BF138D"/>
    <w:rsid w:val="00BF15B2"/>
    <w:rsid w:val="00BF2877"/>
    <w:rsid w:val="00BF28CA"/>
    <w:rsid w:val="00BF42A6"/>
    <w:rsid w:val="00BF6B04"/>
    <w:rsid w:val="00BF6D2C"/>
    <w:rsid w:val="00C009EA"/>
    <w:rsid w:val="00C02337"/>
    <w:rsid w:val="00C0343F"/>
    <w:rsid w:val="00C03561"/>
    <w:rsid w:val="00C04001"/>
    <w:rsid w:val="00C047AB"/>
    <w:rsid w:val="00C06B6F"/>
    <w:rsid w:val="00C06C1C"/>
    <w:rsid w:val="00C074B2"/>
    <w:rsid w:val="00C07F8C"/>
    <w:rsid w:val="00C1068E"/>
    <w:rsid w:val="00C10853"/>
    <w:rsid w:val="00C111D1"/>
    <w:rsid w:val="00C12301"/>
    <w:rsid w:val="00C15ADE"/>
    <w:rsid w:val="00C16364"/>
    <w:rsid w:val="00C17030"/>
    <w:rsid w:val="00C21DA0"/>
    <w:rsid w:val="00C22DFA"/>
    <w:rsid w:val="00C2488C"/>
    <w:rsid w:val="00C26CE7"/>
    <w:rsid w:val="00C279D1"/>
    <w:rsid w:val="00C310E3"/>
    <w:rsid w:val="00C311AA"/>
    <w:rsid w:val="00C32EA8"/>
    <w:rsid w:val="00C33710"/>
    <w:rsid w:val="00C354B8"/>
    <w:rsid w:val="00C3621A"/>
    <w:rsid w:val="00C36DB4"/>
    <w:rsid w:val="00C37F8F"/>
    <w:rsid w:val="00C4018D"/>
    <w:rsid w:val="00C45BF3"/>
    <w:rsid w:val="00C465DF"/>
    <w:rsid w:val="00C475D1"/>
    <w:rsid w:val="00C47AF8"/>
    <w:rsid w:val="00C47C4F"/>
    <w:rsid w:val="00C505B7"/>
    <w:rsid w:val="00C50AE5"/>
    <w:rsid w:val="00C50FC3"/>
    <w:rsid w:val="00C51BEA"/>
    <w:rsid w:val="00C520F8"/>
    <w:rsid w:val="00C52409"/>
    <w:rsid w:val="00C5316B"/>
    <w:rsid w:val="00C53C16"/>
    <w:rsid w:val="00C55580"/>
    <w:rsid w:val="00C56108"/>
    <w:rsid w:val="00C5647F"/>
    <w:rsid w:val="00C56E60"/>
    <w:rsid w:val="00C57DAC"/>
    <w:rsid w:val="00C62FF8"/>
    <w:rsid w:val="00C63091"/>
    <w:rsid w:val="00C641C6"/>
    <w:rsid w:val="00C641E9"/>
    <w:rsid w:val="00C64249"/>
    <w:rsid w:val="00C65308"/>
    <w:rsid w:val="00C65C94"/>
    <w:rsid w:val="00C66A97"/>
    <w:rsid w:val="00C66CF4"/>
    <w:rsid w:val="00C676DF"/>
    <w:rsid w:val="00C71604"/>
    <w:rsid w:val="00C716C9"/>
    <w:rsid w:val="00C737B0"/>
    <w:rsid w:val="00C7534A"/>
    <w:rsid w:val="00C75A83"/>
    <w:rsid w:val="00C75B38"/>
    <w:rsid w:val="00C75E3F"/>
    <w:rsid w:val="00C75EE5"/>
    <w:rsid w:val="00C765A3"/>
    <w:rsid w:val="00C768BF"/>
    <w:rsid w:val="00C84B47"/>
    <w:rsid w:val="00C85A21"/>
    <w:rsid w:val="00C861EE"/>
    <w:rsid w:val="00C8722E"/>
    <w:rsid w:val="00C8775A"/>
    <w:rsid w:val="00C91BF4"/>
    <w:rsid w:val="00C91F63"/>
    <w:rsid w:val="00C930FA"/>
    <w:rsid w:val="00C93458"/>
    <w:rsid w:val="00C94341"/>
    <w:rsid w:val="00C94A7A"/>
    <w:rsid w:val="00C962CB"/>
    <w:rsid w:val="00CA13DA"/>
    <w:rsid w:val="00CA1E8C"/>
    <w:rsid w:val="00CA2B31"/>
    <w:rsid w:val="00CA3128"/>
    <w:rsid w:val="00CA46A1"/>
    <w:rsid w:val="00CA5699"/>
    <w:rsid w:val="00CA57B4"/>
    <w:rsid w:val="00CA65D4"/>
    <w:rsid w:val="00CB30AE"/>
    <w:rsid w:val="00CB3433"/>
    <w:rsid w:val="00CB37D6"/>
    <w:rsid w:val="00CB53F8"/>
    <w:rsid w:val="00CC02FB"/>
    <w:rsid w:val="00CC1051"/>
    <w:rsid w:val="00CC3228"/>
    <w:rsid w:val="00CC3300"/>
    <w:rsid w:val="00CC49E5"/>
    <w:rsid w:val="00CC49ED"/>
    <w:rsid w:val="00CC6E8C"/>
    <w:rsid w:val="00CC773D"/>
    <w:rsid w:val="00CD3C20"/>
    <w:rsid w:val="00CD53C4"/>
    <w:rsid w:val="00CD566B"/>
    <w:rsid w:val="00CD6920"/>
    <w:rsid w:val="00CD6E25"/>
    <w:rsid w:val="00CE3CE0"/>
    <w:rsid w:val="00CE3E4C"/>
    <w:rsid w:val="00CE3F79"/>
    <w:rsid w:val="00CE40BA"/>
    <w:rsid w:val="00CE5FA1"/>
    <w:rsid w:val="00CF692D"/>
    <w:rsid w:val="00D0003C"/>
    <w:rsid w:val="00D0062D"/>
    <w:rsid w:val="00D01587"/>
    <w:rsid w:val="00D03258"/>
    <w:rsid w:val="00D05085"/>
    <w:rsid w:val="00D051E3"/>
    <w:rsid w:val="00D078FE"/>
    <w:rsid w:val="00D07D77"/>
    <w:rsid w:val="00D1123F"/>
    <w:rsid w:val="00D13127"/>
    <w:rsid w:val="00D13E6D"/>
    <w:rsid w:val="00D13EF8"/>
    <w:rsid w:val="00D15334"/>
    <w:rsid w:val="00D16DA6"/>
    <w:rsid w:val="00D16E3A"/>
    <w:rsid w:val="00D178AE"/>
    <w:rsid w:val="00D1796E"/>
    <w:rsid w:val="00D20381"/>
    <w:rsid w:val="00D204AE"/>
    <w:rsid w:val="00D3050B"/>
    <w:rsid w:val="00D30545"/>
    <w:rsid w:val="00D35DA8"/>
    <w:rsid w:val="00D36AD5"/>
    <w:rsid w:val="00D36B14"/>
    <w:rsid w:val="00D36DC2"/>
    <w:rsid w:val="00D3701C"/>
    <w:rsid w:val="00D41044"/>
    <w:rsid w:val="00D41057"/>
    <w:rsid w:val="00D4127B"/>
    <w:rsid w:val="00D418DC"/>
    <w:rsid w:val="00D42C0D"/>
    <w:rsid w:val="00D448D5"/>
    <w:rsid w:val="00D468CD"/>
    <w:rsid w:val="00D47062"/>
    <w:rsid w:val="00D53678"/>
    <w:rsid w:val="00D5406C"/>
    <w:rsid w:val="00D54588"/>
    <w:rsid w:val="00D5474D"/>
    <w:rsid w:val="00D569D5"/>
    <w:rsid w:val="00D57A50"/>
    <w:rsid w:val="00D604A4"/>
    <w:rsid w:val="00D60D98"/>
    <w:rsid w:val="00D62330"/>
    <w:rsid w:val="00D62A87"/>
    <w:rsid w:val="00D66065"/>
    <w:rsid w:val="00D66809"/>
    <w:rsid w:val="00D6753F"/>
    <w:rsid w:val="00D7261D"/>
    <w:rsid w:val="00D73A42"/>
    <w:rsid w:val="00D750FA"/>
    <w:rsid w:val="00D77FF1"/>
    <w:rsid w:val="00D808B8"/>
    <w:rsid w:val="00D8415A"/>
    <w:rsid w:val="00D84EAD"/>
    <w:rsid w:val="00D85226"/>
    <w:rsid w:val="00D85247"/>
    <w:rsid w:val="00D85DC7"/>
    <w:rsid w:val="00D863FA"/>
    <w:rsid w:val="00D87354"/>
    <w:rsid w:val="00D87CEA"/>
    <w:rsid w:val="00D93D4A"/>
    <w:rsid w:val="00D93EC5"/>
    <w:rsid w:val="00D95360"/>
    <w:rsid w:val="00D96E3B"/>
    <w:rsid w:val="00D97671"/>
    <w:rsid w:val="00D97A3F"/>
    <w:rsid w:val="00DA2CA6"/>
    <w:rsid w:val="00DA3030"/>
    <w:rsid w:val="00DA3D3E"/>
    <w:rsid w:val="00DA57DC"/>
    <w:rsid w:val="00DA6B18"/>
    <w:rsid w:val="00DA78AF"/>
    <w:rsid w:val="00DB0618"/>
    <w:rsid w:val="00DB3245"/>
    <w:rsid w:val="00DB49B0"/>
    <w:rsid w:val="00DB5933"/>
    <w:rsid w:val="00DB69AC"/>
    <w:rsid w:val="00DC04EB"/>
    <w:rsid w:val="00DC1110"/>
    <w:rsid w:val="00DC167A"/>
    <w:rsid w:val="00DC1D2F"/>
    <w:rsid w:val="00DC4188"/>
    <w:rsid w:val="00DC4F6A"/>
    <w:rsid w:val="00DC6902"/>
    <w:rsid w:val="00DD086C"/>
    <w:rsid w:val="00DD2BEC"/>
    <w:rsid w:val="00DD3B67"/>
    <w:rsid w:val="00DD3EB8"/>
    <w:rsid w:val="00DD4334"/>
    <w:rsid w:val="00DD5ED3"/>
    <w:rsid w:val="00DD5FF6"/>
    <w:rsid w:val="00DD6F15"/>
    <w:rsid w:val="00DD7FD1"/>
    <w:rsid w:val="00DE0A63"/>
    <w:rsid w:val="00DE185E"/>
    <w:rsid w:val="00DE2908"/>
    <w:rsid w:val="00DE3A22"/>
    <w:rsid w:val="00DE4F37"/>
    <w:rsid w:val="00DE5445"/>
    <w:rsid w:val="00DE5EF1"/>
    <w:rsid w:val="00DE6EFB"/>
    <w:rsid w:val="00DF0386"/>
    <w:rsid w:val="00DF03C7"/>
    <w:rsid w:val="00DF095A"/>
    <w:rsid w:val="00DF0E95"/>
    <w:rsid w:val="00DF0F6D"/>
    <w:rsid w:val="00DF2208"/>
    <w:rsid w:val="00DF33E8"/>
    <w:rsid w:val="00DF4BA7"/>
    <w:rsid w:val="00DF5977"/>
    <w:rsid w:val="00DF6794"/>
    <w:rsid w:val="00DF6FDE"/>
    <w:rsid w:val="00E00560"/>
    <w:rsid w:val="00E00F51"/>
    <w:rsid w:val="00E014DB"/>
    <w:rsid w:val="00E01C5C"/>
    <w:rsid w:val="00E03488"/>
    <w:rsid w:val="00E03ACB"/>
    <w:rsid w:val="00E05E07"/>
    <w:rsid w:val="00E064C5"/>
    <w:rsid w:val="00E10667"/>
    <w:rsid w:val="00E10F6F"/>
    <w:rsid w:val="00E11E6A"/>
    <w:rsid w:val="00E12051"/>
    <w:rsid w:val="00E12327"/>
    <w:rsid w:val="00E126D0"/>
    <w:rsid w:val="00E12FF3"/>
    <w:rsid w:val="00E1487A"/>
    <w:rsid w:val="00E14D04"/>
    <w:rsid w:val="00E1604E"/>
    <w:rsid w:val="00E16E4C"/>
    <w:rsid w:val="00E1787D"/>
    <w:rsid w:val="00E20353"/>
    <w:rsid w:val="00E20DA1"/>
    <w:rsid w:val="00E20EAA"/>
    <w:rsid w:val="00E212EB"/>
    <w:rsid w:val="00E229C1"/>
    <w:rsid w:val="00E23863"/>
    <w:rsid w:val="00E23DE1"/>
    <w:rsid w:val="00E25942"/>
    <w:rsid w:val="00E25A70"/>
    <w:rsid w:val="00E25D32"/>
    <w:rsid w:val="00E26B98"/>
    <w:rsid w:val="00E275A7"/>
    <w:rsid w:val="00E2760E"/>
    <w:rsid w:val="00E30C6D"/>
    <w:rsid w:val="00E319CA"/>
    <w:rsid w:val="00E319D7"/>
    <w:rsid w:val="00E33BF4"/>
    <w:rsid w:val="00E3592B"/>
    <w:rsid w:val="00E37315"/>
    <w:rsid w:val="00E37C6F"/>
    <w:rsid w:val="00E412CB"/>
    <w:rsid w:val="00E433E0"/>
    <w:rsid w:val="00E440C8"/>
    <w:rsid w:val="00E44FE7"/>
    <w:rsid w:val="00E46397"/>
    <w:rsid w:val="00E46DB9"/>
    <w:rsid w:val="00E47164"/>
    <w:rsid w:val="00E47F36"/>
    <w:rsid w:val="00E520EA"/>
    <w:rsid w:val="00E537B8"/>
    <w:rsid w:val="00E53E04"/>
    <w:rsid w:val="00E56994"/>
    <w:rsid w:val="00E57200"/>
    <w:rsid w:val="00E5760E"/>
    <w:rsid w:val="00E57F91"/>
    <w:rsid w:val="00E60E41"/>
    <w:rsid w:val="00E61A8A"/>
    <w:rsid w:val="00E61DA8"/>
    <w:rsid w:val="00E62921"/>
    <w:rsid w:val="00E62BF1"/>
    <w:rsid w:val="00E631F3"/>
    <w:rsid w:val="00E64818"/>
    <w:rsid w:val="00E649C0"/>
    <w:rsid w:val="00E64C5F"/>
    <w:rsid w:val="00E6553B"/>
    <w:rsid w:val="00E675BC"/>
    <w:rsid w:val="00E67DF5"/>
    <w:rsid w:val="00E70E46"/>
    <w:rsid w:val="00E70E67"/>
    <w:rsid w:val="00E73542"/>
    <w:rsid w:val="00E73A55"/>
    <w:rsid w:val="00E74300"/>
    <w:rsid w:val="00E75180"/>
    <w:rsid w:val="00E8041A"/>
    <w:rsid w:val="00E81D1D"/>
    <w:rsid w:val="00E821F4"/>
    <w:rsid w:val="00E8237B"/>
    <w:rsid w:val="00E83AD4"/>
    <w:rsid w:val="00E848BE"/>
    <w:rsid w:val="00E85AED"/>
    <w:rsid w:val="00E87EB6"/>
    <w:rsid w:val="00E90FF1"/>
    <w:rsid w:val="00E93367"/>
    <w:rsid w:val="00E93BBB"/>
    <w:rsid w:val="00E95899"/>
    <w:rsid w:val="00E9638D"/>
    <w:rsid w:val="00E96A8D"/>
    <w:rsid w:val="00E97A75"/>
    <w:rsid w:val="00E97A7C"/>
    <w:rsid w:val="00E97BD7"/>
    <w:rsid w:val="00EA1D85"/>
    <w:rsid w:val="00EA24B5"/>
    <w:rsid w:val="00EA3B38"/>
    <w:rsid w:val="00EA4039"/>
    <w:rsid w:val="00EA518E"/>
    <w:rsid w:val="00EA7BB6"/>
    <w:rsid w:val="00EB0432"/>
    <w:rsid w:val="00EB167C"/>
    <w:rsid w:val="00EB2EFD"/>
    <w:rsid w:val="00EB4245"/>
    <w:rsid w:val="00EB549E"/>
    <w:rsid w:val="00EB62AB"/>
    <w:rsid w:val="00EB6F9B"/>
    <w:rsid w:val="00EB73DB"/>
    <w:rsid w:val="00EC1DFF"/>
    <w:rsid w:val="00EC23D8"/>
    <w:rsid w:val="00EC54DF"/>
    <w:rsid w:val="00EC55F4"/>
    <w:rsid w:val="00ED0BDB"/>
    <w:rsid w:val="00ED0ECA"/>
    <w:rsid w:val="00ED4E67"/>
    <w:rsid w:val="00ED5317"/>
    <w:rsid w:val="00ED557B"/>
    <w:rsid w:val="00ED6358"/>
    <w:rsid w:val="00ED6798"/>
    <w:rsid w:val="00EE0665"/>
    <w:rsid w:val="00EE15BE"/>
    <w:rsid w:val="00EE30D8"/>
    <w:rsid w:val="00EE3469"/>
    <w:rsid w:val="00EF1684"/>
    <w:rsid w:val="00EF1AA1"/>
    <w:rsid w:val="00EF3876"/>
    <w:rsid w:val="00EF5457"/>
    <w:rsid w:val="00EF5B1E"/>
    <w:rsid w:val="00EF7B25"/>
    <w:rsid w:val="00EF7C21"/>
    <w:rsid w:val="00F02795"/>
    <w:rsid w:val="00F05680"/>
    <w:rsid w:val="00F058B4"/>
    <w:rsid w:val="00F068B4"/>
    <w:rsid w:val="00F06FCD"/>
    <w:rsid w:val="00F07D29"/>
    <w:rsid w:val="00F107B6"/>
    <w:rsid w:val="00F123C2"/>
    <w:rsid w:val="00F12C48"/>
    <w:rsid w:val="00F12F45"/>
    <w:rsid w:val="00F1302F"/>
    <w:rsid w:val="00F1472D"/>
    <w:rsid w:val="00F152FD"/>
    <w:rsid w:val="00F1602B"/>
    <w:rsid w:val="00F17831"/>
    <w:rsid w:val="00F17BE9"/>
    <w:rsid w:val="00F21CE3"/>
    <w:rsid w:val="00F22FEC"/>
    <w:rsid w:val="00F23E5E"/>
    <w:rsid w:val="00F269A4"/>
    <w:rsid w:val="00F26D14"/>
    <w:rsid w:val="00F27B7A"/>
    <w:rsid w:val="00F27D6E"/>
    <w:rsid w:val="00F31A91"/>
    <w:rsid w:val="00F32954"/>
    <w:rsid w:val="00F353E4"/>
    <w:rsid w:val="00F3572C"/>
    <w:rsid w:val="00F3593F"/>
    <w:rsid w:val="00F3775B"/>
    <w:rsid w:val="00F408F5"/>
    <w:rsid w:val="00F40BAF"/>
    <w:rsid w:val="00F419AE"/>
    <w:rsid w:val="00F42347"/>
    <w:rsid w:val="00F44266"/>
    <w:rsid w:val="00F44342"/>
    <w:rsid w:val="00F44F2F"/>
    <w:rsid w:val="00F4569C"/>
    <w:rsid w:val="00F476E3"/>
    <w:rsid w:val="00F477BE"/>
    <w:rsid w:val="00F50F60"/>
    <w:rsid w:val="00F51E91"/>
    <w:rsid w:val="00F52D33"/>
    <w:rsid w:val="00F54F93"/>
    <w:rsid w:val="00F56461"/>
    <w:rsid w:val="00F6009F"/>
    <w:rsid w:val="00F60209"/>
    <w:rsid w:val="00F608A8"/>
    <w:rsid w:val="00F61A20"/>
    <w:rsid w:val="00F61D4A"/>
    <w:rsid w:val="00F61E46"/>
    <w:rsid w:val="00F641AF"/>
    <w:rsid w:val="00F64477"/>
    <w:rsid w:val="00F65DCB"/>
    <w:rsid w:val="00F664B8"/>
    <w:rsid w:val="00F66788"/>
    <w:rsid w:val="00F74219"/>
    <w:rsid w:val="00F763CA"/>
    <w:rsid w:val="00F76D0E"/>
    <w:rsid w:val="00F81A3D"/>
    <w:rsid w:val="00F81D4C"/>
    <w:rsid w:val="00F82FA7"/>
    <w:rsid w:val="00F83E1C"/>
    <w:rsid w:val="00F84761"/>
    <w:rsid w:val="00F91127"/>
    <w:rsid w:val="00F93940"/>
    <w:rsid w:val="00F968AA"/>
    <w:rsid w:val="00FA0126"/>
    <w:rsid w:val="00FA1806"/>
    <w:rsid w:val="00FA2113"/>
    <w:rsid w:val="00FA36AA"/>
    <w:rsid w:val="00FA3BE3"/>
    <w:rsid w:val="00FA3F44"/>
    <w:rsid w:val="00FA60F3"/>
    <w:rsid w:val="00FA6D46"/>
    <w:rsid w:val="00FA6DA9"/>
    <w:rsid w:val="00FB006D"/>
    <w:rsid w:val="00FB1028"/>
    <w:rsid w:val="00FB2038"/>
    <w:rsid w:val="00FB251B"/>
    <w:rsid w:val="00FB2B1C"/>
    <w:rsid w:val="00FB3D4C"/>
    <w:rsid w:val="00FB4622"/>
    <w:rsid w:val="00FB4637"/>
    <w:rsid w:val="00FB4882"/>
    <w:rsid w:val="00FB514B"/>
    <w:rsid w:val="00FB67F6"/>
    <w:rsid w:val="00FC0B0A"/>
    <w:rsid w:val="00FC1E3A"/>
    <w:rsid w:val="00FC3168"/>
    <w:rsid w:val="00FC3227"/>
    <w:rsid w:val="00FC355A"/>
    <w:rsid w:val="00FC36E4"/>
    <w:rsid w:val="00FC38F8"/>
    <w:rsid w:val="00FC4020"/>
    <w:rsid w:val="00FC4548"/>
    <w:rsid w:val="00FC495B"/>
    <w:rsid w:val="00FC6F27"/>
    <w:rsid w:val="00FC75A8"/>
    <w:rsid w:val="00FD1896"/>
    <w:rsid w:val="00FD254B"/>
    <w:rsid w:val="00FD2952"/>
    <w:rsid w:val="00FD2EB8"/>
    <w:rsid w:val="00FD2FD7"/>
    <w:rsid w:val="00FD4872"/>
    <w:rsid w:val="00FD4DA7"/>
    <w:rsid w:val="00FD50D1"/>
    <w:rsid w:val="00FD5AFF"/>
    <w:rsid w:val="00FD636E"/>
    <w:rsid w:val="00FD732A"/>
    <w:rsid w:val="00FD7BD0"/>
    <w:rsid w:val="00FD7E4C"/>
    <w:rsid w:val="00FE09E6"/>
    <w:rsid w:val="00FE1115"/>
    <w:rsid w:val="00FE2E63"/>
    <w:rsid w:val="00FE3A84"/>
    <w:rsid w:val="00FE511C"/>
    <w:rsid w:val="00FE5C74"/>
    <w:rsid w:val="00FE6205"/>
    <w:rsid w:val="00FE750A"/>
    <w:rsid w:val="00FF3782"/>
    <w:rsid w:val="00FF3ECD"/>
    <w:rsid w:val="00FF4D1A"/>
    <w:rsid w:val="00FF4EC9"/>
    <w:rsid w:val="00FF59CA"/>
    <w:rsid w:val="00FF6321"/>
    <w:rsid w:val="00FF6B25"/>
    <w:rsid w:val="00FF6CC3"/>
    <w:rsid w:val="01CE5880"/>
    <w:rsid w:val="01D220DD"/>
    <w:rsid w:val="0280D8F3"/>
    <w:rsid w:val="03584EDD"/>
    <w:rsid w:val="0380DBEF"/>
    <w:rsid w:val="046E33F8"/>
    <w:rsid w:val="0529ECA8"/>
    <w:rsid w:val="05D58C75"/>
    <w:rsid w:val="08140B39"/>
    <w:rsid w:val="08784D1F"/>
    <w:rsid w:val="08A192D8"/>
    <w:rsid w:val="09091443"/>
    <w:rsid w:val="0AD49BB2"/>
    <w:rsid w:val="0B14B2A1"/>
    <w:rsid w:val="0C8433EE"/>
    <w:rsid w:val="0D5F0BFC"/>
    <w:rsid w:val="0D8FF3AF"/>
    <w:rsid w:val="0DF2718A"/>
    <w:rsid w:val="0F3D0722"/>
    <w:rsid w:val="0F4AF214"/>
    <w:rsid w:val="0F4E63EF"/>
    <w:rsid w:val="0F6755D1"/>
    <w:rsid w:val="0F6E23CD"/>
    <w:rsid w:val="10FC24F8"/>
    <w:rsid w:val="133455E4"/>
    <w:rsid w:val="134C93AF"/>
    <w:rsid w:val="136E9250"/>
    <w:rsid w:val="13D7214A"/>
    <w:rsid w:val="1435C8AB"/>
    <w:rsid w:val="14811BF8"/>
    <w:rsid w:val="14B4DADB"/>
    <w:rsid w:val="14E0B32F"/>
    <w:rsid w:val="15C1B679"/>
    <w:rsid w:val="15D5E5AC"/>
    <w:rsid w:val="161E0644"/>
    <w:rsid w:val="1658C4A7"/>
    <w:rsid w:val="1734341E"/>
    <w:rsid w:val="18625DE1"/>
    <w:rsid w:val="18CEE0D9"/>
    <w:rsid w:val="194B7FEB"/>
    <w:rsid w:val="1A29E9BF"/>
    <w:rsid w:val="1A82B046"/>
    <w:rsid w:val="1A8BF0C8"/>
    <w:rsid w:val="1C823FE1"/>
    <w:rsid w:val="1C864830"/>
    <w:rsid w:val="1D1851FC"/>
    <w:rsid w:val="1E319D97"/>
    <w:rsid w:val="1E77F9F9"/>
    <w:rsid w:val="1ECD303E"/>
    <w:rsid w:val="1EF40766"/>
    <w:rsid w:val="1FB7F96F"/>
    <w:rsid w:val="1FE3FEB8"/>
    <w:rsid w:val="1FE803A4"/>
    <w:rsid w:val="2060DE4E"/>
    <w:rsid w:val="207F6BC9"/>
    <w:rsid w:val="20E0E4B8"/>
    <w:rsid w:val="219BD86F"/>
    <w:rsid w:val="23641088"/>
    <w:rsid w:val="237D7217"/>
    <w:rsid w:val="244798A4"/>
    <w:rsid w:val="24942E9A"/>
    <w:rsid w:val="24A7647C"/>
    <w:rsid w:val="252A4FAE"/>
    <w:rsid w:val="25E8BF78"/>
    <w:rsid w:val="26948F04"/>
    <w:rsid w:val="269F9C71"/>
    <w:rsid w:val="280F9147"/>
    <w:rsid w:val="2854993B"/>
    <w:rsid w:val="28A2F2E7"/>
    <w:rsid w:val="28BDAD30"/>
    <w:rsid w:val="291C4C62"/>
    <w:rsid w:val="29FE2FD4"/>
    <w:rsid w:val="2B69F990"/>
    <w:rsid w:val="2B77CDD5"/>
    <w:rsid w:val="2BA28ACD"/>
    <w:rsid w:val="2E658E9D"/>
    <w:rsid w:val="2EBB6A3A"/>
    <w:rsid w:val="2F0B639D"/>
    <w:rsid w:val="2F78CDD6"/>
    <w:rsid w:val="303434C6"/>
    <w:rsid w:val="3163E463"/>
    <w:rsid w:val="31F4A417"/>
    <w:rsid w:val="32175E23"/>
    <w:rsid w:val="3230533A"/>
    <w:rsid w:val="33A0DBE8"/>
    <w:rsid w:val="33E0BFA1"/>
    <w:rsid w:val="34D42697"/>
    <w:rsid w:val="34E9597E"/>
    <w:rsid w:val="35033B19"/>
    <w:rsid w:val="352A2462"/>
    <w:rsid w:val="357F638D"/>
    <w:rsid w:val="37208BF2"/>
    <w:rsid w:val="3729BC78"/>
    <w:rsid w:val="379207A8"/>
    <w:rsid w:val="37EA693C"/>
    <w:rsid w:val="382CB7FF"/>
    <w:rsid w:val="384445BA"/>
    <w:rsid w:val="38CF52A7"/>
    <w:rsid w:val="38D4BF09"/>
    <w:rsid w:val="39EB5F4C"/>
    <w:rsid w:val="3A0EFE62"/>
    <w:rsid w:val="3A1B21BB"/>
    <w:rsid w:val="3B0C1D98"/>
    <w:rsid w:val="3B319DCD"/>
    <w:rsid w:val="3B70B2FE"/>
    <w:rsid w:val="3BAD99A5"/>
    <w:rsid w:val="3C5D91F5"/>
    <w:rsid w:val="3CE08189"/>
    <w:rsid w:val="3D17F9E4"/>
    <w:rsid w:val="3D8E3626"/>
    <w:rsid w:val="3DFCB355"/>
    <w:rsid w:val="3E169812"/>
    <w:rsid w:val="3EA25066"/>
    <w:rsid w:val="3FE8C27E"/>
    <w:rsid w:val="3FFBFAE7"/>
    <w:rsid w:val="40262CED"/>
    <w:rsid w:val="408892D4"/>
    <w:rsid w:val="40B9059C"/>
    <w:rsid w:val="40D4EE6A"/>
    <w:rsid w:val="41551946"/>
    <w:rsid w:val="41715590"/>
    <w:rsid w:val="4214DB92"/>
    <w:rsid w:val="42A06590"/>
    <w:rsid w:val="430ADAAD"/>
    <w:rsid w:val="4376A113"/>
    <w:rsid w:val="43770395"/>
    <w:rsid w:val="43947A56"/>
    <w:rsid w:val="43BAFCE7"/>
    <w:rsid w:val="4643CB97"/>
    <w:rsid w:val="46C8D978"/>
    <w:rsid w:val="482DAE6A"/>
    <w:rsid w:val="49E87828"/>
    <w:rsid w:val="49F3485A"/>
    <w:rsid w:val="49F72C89"/>
    <w:rsid w:val="4CDB4273"/>
    <w:rsid w:val="4D32E22E"/>
    <w:rsid w:val="4D47982D"/>
    <w:rsid w:val="4D4898BF"/>
    <w:rsid w:val="4D76FE0C"/>
    <w:rsid w:val="4FA063E6"/>
    <w:rsid w:val="504FCBC9"/>
    <w:rsid w:val="507A6891"/>
    <w:rsid w:val="50ADE294"/>
    <w:rsid w:val="51C624F6"/>
    <w:rsid w:val="51DD2647"/>
    <w:rsid w:val="520EE907"/>
    <w:rsid w:val="5260DB5D"/>
    <w:rsid w:val="52E744AF"/>
    <w:rsid w:val="5335F9A1"/>
    <w:rsid w:val="53A31A44"/>
    <w:rsid w:val="53DF32CB"/>
    <w:rsid w:val="53E17CBA"/>
    <w:rsid w:val="54578A1F"/>
    <w:rsid w:val="54615CD8"/>
    <w:rsid w:val="5513E39E"/>
    <w:rsid w:val="55665EDD"/>
    <w:rsid w:val="56265A41"/>
    <w:rsid w:val="584BD076"/>
    <w:rsid w:val="58D6BACA"/>
    <w:rsid w:val="5993AC09"/>
    <w:rsid w:val="5A4C81EE"/>
    <w:rsid w:val="5A84B917"/>
    <w:rsid w:val="5C1B0047"/>
    <w:rsid w:val="5CAE9DE1"/>
    <w:rsid w:val="5CEAF009"/>
    <w:rsid w:val="5D44A2C1"/>
    <w:rsid w:val="5DB5A9A9"/>
    <w:rsid w:val="5DF5E391"/>
    <w:rsid w:val="5E301D95"/>
    <w:rsid w:val="5E8C1C9B"/>
    <w:rsid w:val="5FB4E087"/>
    <w:rsid w:val="606952C5"/>
    <w:rsid w:val="60A29B03"/>
    <w:rsid w:val="60B629E4"/>
    <w:rsid w:val="624B1221"/>
    <w:rsid w:val="6268C6DA"/>
    <w:rsid w:val="633364C1"/>
    <w:rsid w:val="63E66247"/>
    <w:rsid w:val="64595103"/>
    <w:rsid w:val="64682947"/>
    <w:rsid w:val="64BE5097"/>
    <w:rsid w:val="64ECCACB"/>
    <w:rsid w:val="662E790A"/>
    <w:rsid w:val="66385E3C"/>
    <w:rsid w:val="669237FC"/>
    <w:rsid w:val="680E6DD8"/>
    <w:rsid w:val="682A9DDD"/>
    <w:rsid w:val="6957AEB6"/>
    <w:rsid w:val="69C5039F"/>
    <w:rsid w:val="6B14AB26"/>
    <w:rsid w:val="6B8B7BE4"/>
    <w:rsid w:val="6C848968"/>
    <w:rsid w:val="6D0F2672"/>
    <w:rsid w:val="6DD59ED9"/>
    <w:rsid w:val="6E30BCE0"/>
    <w:rsid w:val="6E7F21ED"/>
    <w:rsid w:val="6EC80427"/>
    <w:rsid w:val="6ED6493E"/>
    <w:rsid w:val="6F731A15"/>
    <w:rsid w:val="6F8E7D52"/>
    <w:rsid w:val="71458DC7"/>
    <w:rsid w:val="71D29472"/>
    <w:rsid w:val="7205CC6C"/>
    <w:rsid w:val="724669AA"/>
    <w:rsid w:val="73476A33"/>
    <w:rsid w:val="738293BA"/>
    <w:rsid w:val="73AD4D79"/>
    <w:rsid w:val="7482B2A1"/>
    <w:rsid w:val="749AAA66"/>
    <w:rsid w:val="74F27777"/>
    <w:rsid w:val="75A8F253"/>
    <w:rsid w:val="77FF13FF"/>
    <w:rsid w:val="7ABC37B8"/>
    <w:rsid w:val="7BF584FC"/>
    <w:rsid w:val="7C640A97"/>
    <w:rsid w:val="7C7D3F50"/>
    <w:rsid w:val="7CCE191C"/>
    <w:rsid w:val="7D975BD1"/>
    <w:rsid w:val="7E011EF3"/>
    <w:rsid w:val="7E54DDB0"/>
    <w:rsid w:val="7E7A667B"/>
    <w:rsid w:val="7E9979C0"/>
    <w:rsid w:val="7F64A0F4"/>
    <w:rsid w:val="7F66B376"/>
    <w:rsid w:val="7F9A921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28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before="120" w:after="120" w:line="240" w:lineRule="auto"/>
      <w:jc w:val="both"/>
    </w:pPr>
    <w:rPr>
      <w:rFonts w:ascii="Times New Roman" w:hAnsi="Times New Roman" w:cs="Times New Roman"/>
      <w:sz w:val="24"/>
      <w:lang w:val="sk-SK"/>
    </w:rPr>
  </w:style>
  <w:style w:type="paragraph" w:styleId="Nadpis1">
    <w:name w:val="heading 1"/>
    <w:basedOn w:val="Normlny"/>
    <w:next w:val="Text1"/>
    <w:link w:val="Nadpis1Char"/>
    <w:uiPriority w:val="9"/>
    <w:qFormat/>
    <w:pPr>
      <w:keepNext/>
      <w:numPr>
        <w:numId w:val="29"/>
      </w:numPr>
      <w:spacing w:before="360"/>
      <w:outlineLvl w:val="0"/>
    </w:pPr>
    <w:rPr>
      <w:rFonts w:eastAsiaTheme="majorEastAsia"/>
      <w:b/>
      <w:bCs/>
      <w:smallCaps/>
      <w:szCs w:val="28"/>
    </w:rPr>
  </w:style>
  <w:style w:type="paragraph" w:styleId="Nadpis2">
    <w:name w:val="heading 2"/>
    <w:basedOn w:val="Normlny"/>
    <w:next w:val="Text1"/>
    <w:link w:val="Nadpis2Char"/>
    <w:uiPriority w:val="9"/>
    <w:semiHidden/>
    <w:unhideWhenUsed/>
    <w:qFormat/>
    <w:pPr>
      <w:keepNext/>
      <w:numPr>
        <w:ilvl w:val="1"/>
        <w:numId w:val="29"/>
      </w:numPr>
      <w:outlineLvl w:val="1"/>
    </w:pPr>
    <w:rPr>
      <w:rFonts w:eastAsiaTheme="majorEastAsia"/>
      <w:b/>
      <w:bCs/>
      <w:szCs w:val="26"/>
    </w:rPr>
  </w:style>
  <w:style w:type="paragraph" w:styleId="Nadpis3">
    <w:name w:val="heading 3"/>
    <w:basedOn w:val="Normlny"/>
    <w:next w:val="Text1"/>
    <w:link w:val="Nadpis3Char"/>
    <w:uiPriority w:val="9"/>
    <w:semiHidden/>
    <w:unhideWhenUsed/>
    <w:qFormat/>
    <w:pPr>
      <w:keepNext/>
      <w:numPr>
        <w:ilvl w:val="2"/>
        <w:numId w:val="29"/>
      </w:numPr>
      <w:outlineLvl w:val="2"/>
    </w:pPr>
    <w:rPr>
      <w:rFonts w:eastAsiaTheme="majorEastAsia"/>
      <w:bCs/>
      <w:i/>
    </w:rPr>
  </w:style>
  <w:style w:type="paragraph" w:styleId="Nadpis4">
    <w:name w:val="heading 4"/>
    <w:basedOn w:val="Normlny"/>
    <w:next w:val="Text1"/>
    <w:link w:val="Nadpis4Char"/>
    <w:uiPriority w:val="9"/>
    <w:semiHidden/>
    <w:unhideWhenUsed/>
    <w:qFormat/>
    <w:pPr>
      <w:keepNext/>
      <w:numPr>
        <w:ilvl w:val="3"/>
        <w:numId w:val="29"/>
      </w:numPr>
      <w:outlineLvl w:val="3"/>
    </w:pPr>
    <w:rPr>
      <w:rFonts w:eastAsiaTheme="majorEastAsia"/>
      <w:bCs/>
      <w:iCs/>
    </w:rPr>
  </w:style>
  <w:style w:type="paragraph" w:styleId="Nadpis5">
    <w:name w:val="heading 5"/>
    <w:basedOn w:val="Normlny"/>
    <w:next w:val="Text2"/>
    <w:link w:val="Nadpis5Char"/>
    <w:uiPriority w:val="9"/>
    <w:semiHidden/>
    <w:unhideWhenUsed/>
    <w:qFormat/>
    <w:pPr>
      <w:keepNext/>
      <w:numPr>
        <w:ilvl w:val="4"/>
        <w:numId w:val="29"/>
      </w:numPr>
      <w:outlineLvl w:val="4"/>
    </w:pPr>
    <w:rPr>
      <w:rFonts w:eastAsiaTheme="majorEastAsia"/>
    </w:rPr>
  </w:style>
  <w:style w:type="paragraph" w:styleId="Nadpis6">
    <w:name w:val="heading 6"/>
    <w:basedOn w:val="Normlny"/>
    <w:next w:val="Text2"/>
    <w:link w:val="Nadpis6Char"/>
    <w:uiPriority w:val="9"/>
    <w:semiHidden/>
    <w:unhideWhenUsed/>
    <w:qFormat/>
    <w:pPr>
      <w:keepNext/>
      <w:numPr>
        <w:ilvl w:val="5"/>
        <w:numId w:val="29"/>
      </w:numPr>
      <w:outlineLvl w:val="5"/>
    </w:pPr>
    <w:rPr>
      <w:rFonts w:eastAsiaTheme="majorEastAsia"/>
      <w:iCs/>
    </w:rPr>
  </w:style>
  <w:style w:type="paragraph" w:styleId="Nadpis7">
    <w:name w:val="heading 7"/>
    <w:basedOn w:val="Normlny"/>
    <w:next w:val="Text2"/>
    <w:link w:val="Nadpis7Char"/>
    <w:uiPriority w:val="9"/>
    <w:semiHidden/>
    <w:unhideWhenUsed/>
    <w:qFormat/>
    <w:pPr>
      <w:keepNext/>
      <w:numPr>
        <w:ilvl w:val="6"/>
        <w:numId w:val="29"/>
      </w:numPr>
      <w:outlineLvl w:val="6"/>
    </w:pPr>
    <w:rPr>
      <w:rFonts w:eastAsiaTheme="majorEastAsia"/>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oznamsodrkami4">
    <w:name w:val="List Bullet 4"/>
    <w:basedOn w:val="Normlny"/>
    <w:rsid w:val="006C7F87"/>
    <w:pPr>
      <w:numPr>
        <w:numId w:val="2"/>
      </w:numPr>
      <w:tabs>
        <w:tab w:val="num" w:pos="360"/>
      </w:tabs>
      <w:ind w:left="0" w:firstLine="0"/>
    </w:pPr>
    <w:rPr>
      <w:rFonts w:eastAsia="Times New Roman"/>
      <w:lang w:eastAsia="de-DE"/>
    </w:rPr>
  </w:style>
  <w:style w:type="paragraph" w:styleId="slovanzoznam">
    <w:name w:val="List Number"/>
    <w:basedOn w:val="Normlny"/>
    <w:rsid w:val="006C7F87"/>
    <w:pPr>
      <w:numPr>
        <w:numId w:val="6"/>
      </w:numPr>
    </w:pPr>
    <w:rPr>
      <w:rFonts w:eastAsia="Times New Roman"/>
      <w:lang w:eastAsia="de-DE"/>
    </w:rPr>
  </w:style>
  <w:style w:type="paragraph" w:customStyle="1" w:styleId="ListBullet1">
    <w:name w:val="List Bullet 1"/>
    <w:basedOn w:val="Normlny"/>
    <w:rsid w:val="006C7F87"/>
    <w:pPr>
      <w:numPr>
        <w:numId w:val="1"/>
      </w:numPr>
    </w:pPr>
    <w:rPr>
      <w:rFonts w:eastAsia="Times New Roman"/>
      <w:lang w:eastAsia="de-DE"/>
    </w:rPr>
  </w:style>
  <w:style w:type="paragraph" w:customStyle="1" w:styleId="ListDash">
    <w:name w:val="List Dash"/>
    <w:basedOn w:val="Normlny"/>
    <w:rsid w:val="006C7F87"/>
    <w:pPr>
      <w:numPr>
        <w:numId w:val="3"/>
      </w:numPr>
    </w:pPr>
    <w:rPr>
      <w:rFonts w:eastAsia="Times New Roman"/>
      <w:lang w:eastAsia="de-DE"/>
    </w:rPr>
  </w:style>
  <w:style w:type="paragraph" w:customStyle="1" w:styleId="ListDash1">
    <w:name w:val="List Dash 1"/>
    <w:basedOn w:val="Normlny"/>
    <w:rsid w:val="006C7F87"/>
    <w:pPr>
      <w:numPr>
        <w:numId w:val="4"/>
      </w:numPr>
    </w:pPr>
    <w:rPr>
      <w:rFonts w:eastAsia="Times New Roman"/>
      <w:lang w:eastAsia="de-DE"/>
    </w:rPr>
  </w:style>
  <w:style w:type="paragraph" w:customStyle="1" w:styleId="ListDash2">
    <w:name w:val="List Dash 2"/>
    <w:basedOn w:val="Normlny"/>
    <w:rsid w:val="006C7F87"/>
    <w:pPr>
      <w:numPr>
        <w:numId w:val="5"/>
      </w:numPr>
    </w:pPr>
    <w:rPr>
      <w:rFonts w:eastAsia="Times New Roman"/>
      <w:lang w:eastAsia="de-DE"/>
    </w:rPr>
  </w:style>
  <w:style w:type="paragraph" w:customStyle="1" w:styleId="ListNumberLevel2">
    <w:name w:val="List Number (Level 2)"/>
    <w:basedOn w:val="Normlny"/>
    <w:rsid w:val="006C7F87"/>
    <w:pPr>
      <w:numPr>
        <w:ilvl w:val="1"/>
        <w:numId w:val="6"/>
      </w:numPr>
    </w:pPr>
    <w:rPr>
      <w:rFonts w:eastAsia="Times New Roman"/>
      <w:lang w:eastAsia="de-DE"/>
    </w:rPr>
  </w:style>
  <w:style w:type="paragraph" w:customStyle="1" w:styleId="ListNumberLevel3">
    <w:name w:val="List Number (Level 3)"/>
    <w:basedOn w:val="Normlny"/>
    <w:rsid w:val="006C7F87"/>
    <w:pPr>
      <w:numPr>
        <w:ilvl w:val="2"/>
        <w:numId w:val="6"/>
      </w:numPr>
    </w:pPr>
    <w:rPr>
      <w:rFonts w:eastAsia="Times New Roman"/>
      <w:lang w:eastAsia="de-DE"/>
    </w:rPr>
  </w:style>
  <w:style w:type="paragraph" w:customStyle="1" w:styleId="ListNumberLevel4">
    <w:name w:val="List Number (Level 4)"/>
    <w:basedOn w:val="Normlny"/>
    <w:rsid w:val="006C7F87"/>
    <w:pPr>
      <w:numPr>
        <w:ilvl w:val="3"/>
        <w:numId w:val="6"/>
      </w:numPr>
    </w:pPr>
    <w:rPr>
      <w:rFonts w:eastAsia="Times New Roman"/>
      <w:lang w:eastAsia="de-DE"/>
    </w:rPr>
  </w:style>
  <w:style w:type="table" w:styleId="Mriekatabuky">
    <w:name w:val="Table Grid"/>
    <w:basedOn w:val="Normlnatabuka"/>
    <w:rsid w:val="006C7F87"/>
    <w:pPr>
      <w:spacing w:before="120" w:after="120" w:line="240" w:lineRule="auto"/>
      <w:jc w:val="both"/>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rsid w:val="006C7F87"/>
    <w:rPr>
      <w:color w:val="0000FF"/>
      <w:u w:val="single"/>
    </w:rPr>
  </w:style>
  <w:style w:type="paragraph" w:styleId="Zoznamsodrkami">
    <w:name w:val="List Bullet"/>
    <w:basedOn w:val="Normlny"/>
    <w:rsid w:val="006C7F87"/>
    <w:pPr>
      <w:numPr>
        <w:numId w:val="7"/>
      </w:numPr>
    </w:pPr>
    <w:rPr>
      <w:rFonts w:eastAsia="Times New Roman"/>
      <w:lang w:eastAsia="en-GB"/>
    </w:rPr>
  </w:style>
  <w:style w:type="paragraph" w:styleId="Zoznamsodrkami2">
    <w:name w:val="List Bullet 2"/>
    <w:basedOn w:val="Normlny"/>
    <w:rsid w:val="006C7F87"/>
    <w:pPr>
      <w:numPr>
        <w:numId w:val="8"/>
      </w:numPr>
    </w:pPr>
    <w:rPr>
      <w:rFonts w:eastAsia="Times New Roman"/>
      <w:lang w:eastAsia="en-GB"/>
    </w:rPr>
  </w:style>
  <w:style w:type="paragraph" w:styleId="Zoznamsodrkami3">
    <w:name w:val="List Bullet 3"/>
    <w:basedOn w:val="Normlny"/>
    <w:rsid w:val="006C7F87"/>
    <w:pPr>
      <w:numPr>
        <w:numId w:val="9"/>
      </w:numPr>
    </w:pPr>
    <w:rPr>
      <w:rFonts w:eastAsia="Times New Roman"/>
      <w:lang w:eastAsia="en-GB"/>
    </w:rPr>
  </w:style>
  <w:style w:type="paragraph" w:styleId="slovanzoznam2">
    <w:name w:val="List Number 2"/>
    <w:basedOn w:val="Normlny"/>
    <w:rsid w:val="006C7F87"/>
    <w:pPr>
      <w:numPr>
        <w:numId w:val="13"/>
      </w:numPr>
    </w:pPr>
    <w:rPr>
      <w:rFonts w:eastAsia="Times New Roman"/>
      <w:lang w:eastAsia="en-GB"/>
    </w:rPr>
  </w:style>
  <w:style w:type="paragraph" w:styleId="slovanzoznam3">
    <w:name w:val="List Number 3"/>
    <w:basedOn w:val="Normlny"/>
    <w:rsid w:val="006C7F87"/>
    <w:pPr>
      <w:numPr>
        <w:numId w:val="14"/>
      </w:numPr>
    </w:pPr>
    <w:rPr>
      <w:rFonts w:eastAsia="Times New Roman"/>
      <w:lang w:eastAsia="en-GB"/>
    </w:rPr>
  </w:style>
  <w:style w:type="paragraph" w:styleId="slovanzoznam4">
    <w:name w:val="List Number 4"/>
    <w:basedOn w:val="Normlny"/>
    <w:rsid w:val="006C7F87"/>
    <w:pPr>
      <w:numPr>
        <w:numId w:val="15"/>
      </w:numPr>
    </w:pPr>
    <w:rPr>
      <w:rFonts w:eastAsia="Times New Roman"/>
      <w:lang w:eastAsia="en-GB"/>
    </w:rPr>
  </w:style>
  <w:style w:type="paragraph" w:customStyle="1" w:styleId="ListDash3">
    <w:name w:val="List Dash 3"/>
    <w:basedOn w:val="Normlny"/>
    <w:rsid w:val="006C7F87"/>
    <w:pPr>
      <w:numPr>
        <w:numId w:val="10"/>
      </w:numPr>
    </w:pPr>
    <w:rPr>
      <w:rFonts w:eastAsia="Times New Roman"/>
      <w:lang w:eastAsia="en-GB"/>
    </w:rPr>
  </w:style>
  <w:style w:type="paragraph" w:customStyle="1" w:styleId="ListDash4">
    <w:name w:val="List Dash 4"/>
    <w:basedOn w:val="Normlny"/>
    <w:rsid w:val="006C7F87"/>
    <w:pPr>
      <w:numPr>
        <w:numId w:val="11"/>
      </w:numPr>
    </w:pPr>
    <w:rPr>
      <w:rFonts w:eastAsia="Times New Roman"/>
      <w:lang w:eastAsia="en-GB"/>
    </w:rPr>
  </w:style>
  <w:style w:type="paragraph" w:customStyle="1" w:styleId="ListNumber1">
    <w:name w:val="List Number 1"/>
    <w:basedOn w:val="Text1"/>
    <w:rsid w:val="006C7F87"/>
    <w:pPr>
      <w:numPr>
        <w:numId w:val="12"/>
      </w:numPr>
    </w:pPr>
    <w:rPr>
      <w:rFonts w:eastAsia="Times New Roman"/>
      <w:lang w:eastAsia="en-GB"/>
    </w:rPr>
  </w:style>
  <w:style w:type="paragraph" w:customStyle="1" w:styleId="ListNumber1Level2">
    <w:name w:val="List Number 1 (Level 2)"/>
    <w:basedOn w:val="Text1"/>
    <w:rsid w:val="006C7F87"/>
    <w:pPr>
      <w:numPr>
        <w:ilvl w:val="1"/>
        <w:numId w:val="12"/>
      </w:numPr>
    </w:pPr>
    <w:rPr>
      <w:rFonts w:eastAsia="Times New Roman"/>
      <w:lang w:eastAsia="en-GB"/>
    </w:rPr>
  </w:style>
  <w:style w:type="paragraph" w:customStyle="1" w:styleId="ListNumber2Level2">
    <w:name w:val="List Number 2 (Level 2)"/>
    <w:basedOn w:val="Text2"/>
    <w:rsid w:val="006C7F87"/>
    <w:pPr>
      <w:numPr>
        <w:ilvl w:val="1"/>
        <w:numId w:val="13"/>
      </w:numPr>
    </w:pPr>
    <w:rPr>
      <w:rFonts w:eastAsia="Times New Roman"/>
      <w:lang w:eastAsia="en-GB"/>
    </w:rPr>
  </w:style>
  <w:style w:type="paragraph" w:customStyle="1" w:styleId="ListNumber3Level2">
    <w:name w:val="List Number 3 (Level 2)"/>
    <w:basedOn w:val="Text3"/>
    <w:rsid w:val="006C7F87"/>
    <w:pPr>
      <w:numPr>
        <w:ilvl w:val="1"/>
        <w:numId w:val="14"/>
      </w:numPr>
    </w:pPr>
    <w:rPr>
      <w:rFonts w:eastAsia="Times New Roman"/>
      <w:lang w:eastAsia="en-GB"/>
    </w:rPr>
  </w:style>
  <w:style w:type="paragraph" w:customStyle="1" w:styleId="ListNumber4Level2">
    <w:name w:val="List Number 4 (Level 2)"/>
    <w:basedOn w:val="Text4"/>
    <w:rsid w:val="006C7F87"/>
    <w:pPr>
      <w:numPr>
        <w:ilvl w:val="1"/>
        <w:numId w:val="15"/>
      </w:numPr>
    </w:pPr>
    <w:rPr>
      <w:rFonts w:eastAsia="Times New Roman"/>
      <w:lang w:eastAsia="en-GB"/>
    </w:rPr>
  </w:style>
  <w:style w:type="paragraph" w:customStyle="1" w:styleId="ListNumber1Level3">
    <w:name w:val="List Number 1 (Level 3)"/>
    <w:basedOn w:val="Text1"/>
    <w:rsid w:val="006C7F87"/>
    <w:pPr>
      <w:numPr>
        <w:ilvl w:val="2"/>
        <w:numId w:val="12"/>
      </w:numPr>
    </w:pPr>
    <w:rPr>
      <w:rFonts w:eastAsia="Times New Roman"/>
      <w:lang w:eastAsia="en-GB"/>
    </w:rPr>
  </w:style>
  <w:style w:type="paragraph" w:customStyle="1" w:styleId="ListNumber2Level3">
    <w:name w:val="List Number 2 (Level 3)"/>
    <w:basedOn w:val="Text2"/>
    <w:rsid w:val="006C7F87"/>
    <w:pPr>
      <w:numPr>
        <w:ilvl w:val="2"/>
        <w:numId w:val="13"/>
      </w:numPr>
    </w:pPr>
    <w:rPr>
      <w:rFonts w:eastAsia="Times New Roman"/>
      <w:lang w:eastAsia="en-GB"/>
    </w:rPr>
  </w:style>
  <w:style w:type="paragraph" w:customStyle="1" w:styleId="ListNumber3Level3">
    <w:name w:val="List Number 3 (Level 3)"/>
    <w:basedOn w:val="Text3"/>
    <w:rsid w:val="006C7F87"/>
    <w:pPr>
      <w:numPr>
        <w:ilvl w:val="2"/>
        <w:numId w:val="14"/>
      </w:numPr>
    </w:pPr>
    <w:rPr>
      <w:rFonts w:eastAsia="Times New Roman"/>
      <w:lang w:eastAsia="en-GB"/>
    </w:rPr>
  </w:style>
  <w:style w:type="paragraph" w:customStyle="1" w:styleId="ListNumber4Level3">
    <w:name w:val="List Number 4 (Level 3)"/>
    <w:basedOn w:val="Text4"/>
    <w:rsid w:val="006C7F87"/>
    <w:pPr>
      <w:numPr>
        <w:ilvl w:val="2"/>
        <w:numId w:val="15"/>
      </w:numPr>
    </w:pPr>
    <w:rPr>
      <w:rFonts w:eastAsia="Times New Roman"/>
      <w:lang w:eastAsia="en-GB"/>
    </w:rPr>
  </w:style>
  <w:style w:type="paragraph" w:customStyle="1" w:styleId="ListNumber1Level4">
    <w:name w:val="List Number 1 (Level 4)"/>
    <w:basedOn w:val="Text1"/>
    <w:rsid w:val="006C7F87"/>
    <w:pPr>
      <w:numPr>
        <w:ilvl w:val="3"/>
        <w:numId w:val="12"/>
      </w:numPr>
    </w:pPr>
    <w:rPr>
      <w:rFonts w:eastAsia="Times New Roman"/>
      <w:lang w:eastAsia="en-GB"/>
    </w:rPr>
  </w:style>
  <w:style w:type="paragraph" w:customStyle="1" w:styleId="ListNumber2Level4">
    <w:name w:val="List Number 2 (Level 4)"/>
    <w:basedOn w:val="Text2"/>
    <w:rsid w:val="006C7F87"/>
    <w:pPr>
      <w:numPr>
        <w:ilvl w:val="3"/>
        <w:numId w:val="13"/>
      </w:numPr>
    </w:pPr>
    <w:rPr>
      <w:rFonts w:eastAsia="Times New Roman"/>
      <w:lang w:eastAsia="en-GB"/>
    </w:rPr>
  </w:style>
  <w:style w:type="paragraph" w:customStyle="1" w:styleId="ListNumber3Level4">
    <w:name w:val="List Number 3 (Level 4)"/>
    <w:basedOn w:val="Text3"/>
    <w:rsid w:val="006C7F87"/>
    <w:pPr>
      <w:numPr>
        <w:ilvl w:val="3"/>
        <w:numId w:val="14"/>
      </w:numPr>
    </w:pPr>
    <w:rPr>
      <w:rFonts w:eastAsia="Times New Roman"/>
      <w:lang w:eastAsia="en-GB"/>
    </w:rPr>
  </w:style>
  <w:style w:type="paragraph" w:customStyle="1" w:styleId="ListNumber4Level4">
    <w:name w:val="List Number 4 (Level 4)"/>
    <w:basedOn w:val="Text4"/>
    <w:rsid w:val="006C7F87"/>
    <w:pPr>
      <w:numPr>
        <w:ilvl w:val="3"/>
        <w:numId w:val="15"/>
      </w:numPr>
    </w:pPr>
    <w:rPr>
      <w:rFonts w:eastAsia="Times New Roman"/>
      <w:lang w:eastAsia="en-GB"/>
    </w:rPr>
  </w:style>
  <w:style w:type="paragraph" w:customStyle="1" w:styleId="Annexetitreacte">
    <w:name w:val="Annexe titre (acte)"/>
    <w:basedOn w:val="Normlny"/>
    <w:next w:val="Normlny"/>
    <w:rsid w:val="006C7F87"/>
    <w:pPr>
      <w:jc w:val="center"/>
    </w:pPr>
    <w:rPr>
      <w:rFonts w:eastAsia="Times New Roman"/>
      <w:b/>
      <w:u w:val="single"/>
      <w:lang w:eastAsia="en-GB"/>
    </w:rPr>
  </w:style>
  <w:style w:type="paragraph" w:customStyle="1" w:styleId="Annexetitreexposglobal">
    <w:name w:val="Annexe titre (exposé global)"/>
    <w:basedOn w:val="Normlny"/>
    <w:next w:val="Normlny"/>
    <w:rsid w:val="006C7F87"/>
    <w:pPr>
      <w:jc w:val="center"/>
    </w:pPr>
    <w:rPr>
      <w:rFonts w:eastAsia="Times New Roman"/>
      <w:b/>
      <w:u w:val="single"/>
      <w:lang w:eastAsia="en-GB"/>
    </w:rPr>
  </w:style>
  <w:style w:type="paragraph" w:customStyle="1" w:styleId="Annexetitrefichefinacte">
    <w:name w:val="Annexe titre (fiche fin. acte)"/>
    <w:basedOn w:val="Normlny"/>
    <w:next w:val="Normlny"/>
    <w:rsid w:val="006C7F87"/>
    <w:pPr>
      <w:jc w:val="center"/>
    </w:pPr>
    <w:rPr>
      <w:rFonts w:eastAsia="Times New Roman"/>
      <w:b/>
      <w:u w:val="single"/>
      <w:lang w:eastAsia="en-GB"/>
    </w:rPr>
  </w:style>
  <w:style w:type="paragraph" w:customStyle="1" w:styleId="Annexetitrefichefinglobale">
    <w:name w:val="Annexe titre (fiche fin. globale)"/>
    <w:basedOn w:val="Normlny"/>
    <w:next w:val="Normlny"/>
    <w:rsid w:val="006C7F87"/>
    <w:pPr>
      <w:jc w:val="center"/>
    </w:pPr>
    <w:rPr>
      <w:rFonts w:eastAsia="Times New Roman"/>
      <w:b/>
      <w:u w:val="single"/>
      <w:lang w:eastAsia="en-GB"/>
    </w:rPr>
  </w:style>
  <w:style w:type="paragraph" w:customStyle="1" w:styleId="Annexetitreglobale">
    <w:name w:val="Annexe titre (globale)"/>
    <w:basedOn w:val="Normlny"/>
    <w:next w:val="Normlny"/>
    <w:rsid w:val="006C7F87"/>
    <w:pPr>
      <w:jc w:val="center"/>
    </w:pPr>
    <w:rPr>
      <w:rFonts w:eastAsia="Times New Roman"/>
      <w:b/>
      <w:u w:val="single"/>
      <w:lang w:eastAsia="en-GB"/>
    </w:rPr>
  </w:style>
  <w:style w:type="paragraph" w:customStyle="1" w:styleId="Exposdesmotifstitreglobal">
    <w:name w:val="Exposé des motifs titre (global)"/>
    <w:basedOn w:val="Normlny"/>
    <w:next w:val="Normlny"/>
    <w:rsid w:val="006C7F87"/>
    <w:pPr>
      <w:jc w:val="center"/>
    </w:pPr>
    <w:rPr>
      <w:rFonts w:eastAsia="Times New Roman"/>
      <w:b/>
      <w:u w:val="single"/>
      <w:lang w:eastAsia="en-GB"/>
    </w:rPr>
  </w:style>
  <w:style w:type="paragraph" w:customStyle="1" w:styleId="Langueoriginale">
    <w:name w:val="Langue originale"/>
    <w:basedOn w:val="Normlny"/>
    <w:rsid w:val="006C7F87"/>
    <w:pPr>
      <w:spacing w:before="360"/>
      <w:jc w:val="center"/>
    </w:pPr>
    <w:rPr>
      <w:rFonts w:eastAsia="Times New Roman"/>
      <w:caps/>
      <w:lang w:eastAsia="en-GB"/>
    </w:rPr>
  </w:style>
  <w:style w:type="paragraph" w:customStyle="1" w:styleId="Phrasefinale">
    <w:name w:val="Phrase finale"/>
    <w:basedOn w:val="Normlny"/>
    <w:next w:val="Normlny"/>
    <w:rsid w:val="006C7F87"/>
    <w:pPr>
      <w:spacing w:before="360" w:after="0"/>
      <w:jc w:val="center"/>
    </w:pPr>
    <w:rPr>
      <w:rFonts w:eastAsia="Times New Roman"/>
      <w:lang w:eastAsia="en-GB"/>
    </w:rPr>
  </w:style>
  <w:style w:type="paragraph" w:customStyle="1" w:styleId="Prliminairetitre">
    <w:name w:val="Préliminaire titre"/>
    <w:basedOn w:val="Normlny"/>
    <w:next w:val="Normlny"/>
    <w:rsid w:val="006C7F87"/>
    <w:pPr>
      <w:spacing w:before="360" w:after="360"/>
      <w:jc w:val="center"/>
    </w:pPr>
    <w:rPr>
      <w:rFonts w:eastAsia="Times New Roman"/>
      <w:b/>
      <w:lang w:eastAsia="en-GB"/>
    </w:rPr>
  </w:style>
  <w:style w:type="paragraph" w:customStyle="1" w:styleId="Prliminairetype">
    <w:name w:val="Préliminaire type"/>
    <w:basedOn w:val="Normlny"/>
    <w:next w:val="Normlny"/>
    <w:rsid w:val="006C7F87"/>
    <w:pPr>
      <w:spacing w:before="360" w:after="0"/>
      <w:jc w:val="center"/>
    </w:pPr>
    <w:rPr>
      <w:rFonts w:eastAsia="Times New Roman"/>
      <w:b/>
      <w:lang w:eastAsia="en-GB"/>
    </w:rPr>
  </w:style>
  <w:style w:type="paragraph" w:customStyle="1" w:styleId="Rfrenceinstitutionelle">
    <w:name w:val="Référence institutionelle"/>
    <w:basedOn w:val="Normlny"/>
    <w:next w:val="Statut"/>
    <w:rsid w:val="006C7F87"/>
    <w:pPr>
      <w:spacing w:before="0" w:after="240"/>
      <w:ind w:left="5103"/>
      <w:jc w:val="left"/>
    </w:pPr>
    <w:rPr>
      <w:rFonts w:eastAsia="Times New Roman"/>
      <w:lang w:eastAsia="en-GB"/>
    </w:rPr>
  </w:style>
  <w:style w:type="paragraph" w:customStyle="1" w:styleId="Rfrenceinterinstitutionelle">
    <w:name w:val="Référence interinstitutionelle"/>
    <w:basedOn w:val="Normlny"/>
    <w:next w:val="Statut"/>
    <w:rsid w:val="006C7F87"/>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lny"/>
    <w:next w:val="Normlny"/>
    <w:rsid w:val="006C7F87"/>
    <w:pPr>
      <w:spacing w:before="0" w:after="0"/>
      <w:ind w:left="5103"/>
      <w:jc w:val="left"/>
    </w:pPr>
    <w:rPr>
      <w:rFonts w:eastAsia="Times New Roman"/>
      <w:lang w:eastAsia="en-GB"/>
    </w:rPr>
  </w:style>
  <w:style w:type="paragraph" w:customStyle="1" w:styleId="Sous-titreobjetprliminaire">
    <w:name w:val="Sous-titre objet (préliminaire)"/>
    <w:basedOn w:val="Normlny"/>
    <w:rsid w:val="006C7F87"/>
    <w:pPr>
      <w:spacing w:before="0" w:after="0"/>
      <w:jc w:val="center"/>
    </w:pPr>
    <w:rPr>
      <w:rFonts w:eastAsia="Times New Roman"/>
      <w:b/>
      <w:lang w:eastAsia="en-GB"/>
    </w:rPr>
  </w:style>
  <w:style w:type="paragraph" w:customStyle="1" w:styleId="Statutprliminaire">
    <w:name w:val="Statut (préliminaire)"/>
    <w:basedOn w:val="Normlny"/>
    <w:next w:val="Normlny"/>
    <w:rsid w:val="006C7F87"/>
    <w:pPr>
      <w:spacing w:before="360" w:after="0"/>
      <w:jc w:val="center"/>
    </w:pPr>
    <w:rPr>
      <w:rFonts w:eastAsia="Times New Roman"/>
      <w:lang w:eastAsia="en-GB"/>
    </w:rPr>
  </w:style>
  <w:style w:type="paragraph" w:customStyle="1" w:styleId="Titreobjetprliminaire">
    <w:name w:val="Titre objet (préliminaire)"/>
    <w:basedOn w:val="Normlny"/>
    <w:next w:val="Normlny"/>
    <w:rsid w:val="006C7F87"/>
    <w:pPr>
      <w:spacing w:before="360" w:after="360"/>
      <w:jc w:val="center"/>
    </w:pPr>
    <w:rPr>
      <w:rFonts w:eastAsia="Times New Roman"/>
      <w:b/>
      <w:lang w:eastAsia="en-GB"/>
    </w:rPr>
  </w:style>
  <w:style w:type="paragraph" w:customStyle="1" w:styleId="Typedudocumentprliminaire">
    <w:name w:val="Type du document (préliminaire)"/>
    <w:basedOn w:val="Normlny"/>
    <w:next w:val="Normlny"/>
    <w:rsid w:val="006C7F87"/>
    <w:pPr>
      <w:spacing w:before="360" w:after="0"/>
      <w:jc w:val="center"/>
    </w:pPr>
    <w:rPr>
      <w:rFonts w:eastAsia="Times New Roman"/>
      <w:b/>
      <w:lang w:eastAsia="en-GB"/>
    </w:rPr>
  </w:style>
  <w:style w:type="paragraph" w:customStyle="1" w:styleId="Fichefinancirestandardtitre">
    <w:name w:val="Fiche financière (standard) titre"/>
    <w:basedOn w:val="Normlny"/>
    <w:next w:val="Normlny"/>
    <w:rsid w:val="006C7F87"/>
    <w:pPr>
      <w:jc w:val="center"/>
    </w:pPr>
    <w:rPr>
      <w:rFonts w:eastAsia="Times New Roman"/>
      <w:b/>
      <w:u w:val="single"/>
      <w:lang w:eastAsia="en-GB"/>
    </w:rPr>
  </w:style>
  <w:style w:type="paragraph" w:customStyle="1" w:styleId="Fichefinancirestandardtitreacte">
    <w:name w:val="Fiche financière (standard) titre (acte)"/>
    <w:basedOn w:val="Normlny"/>
    <w:next w:val="Normlny"/>
    <w:rsid w:val="006C7F87"/>
    <w:pPr>
      <w:jc w:val="center"/>
    </w:pPr>
    <w:rPr>
      <w:rFonts w:eastAsia="Times New Roman"/>
      <w:b/>
      <w:u w:val="single"/>
      <w:lang w:eastAsia="en-GB"/>
    </w:rPr>
  </w:style>
  <w:style w:type="paragraph" w:customStyle="1" w:styleId="Fichefinanciretravailtitre">
    <w:name w:val="Fiche financière (travail) titre"/>
    <w:basedOn w:val="Normlny"/>
    <w:next w:val="Normlny"/>
    <w:rsid w:val="006C7F87"/>
    <w:pPr>
      <w:jc w:val="center"/>
    </w:pPr>
    <w:rPr>
      <w:rFonts w:eastAsia="Times New Roman"/>
      <w:b/>
      <w:u w:val="single"/>
      <w:lang w:eastAsia="en-GB"/>
    </w:rPr>
  </w:style>
  <w:style w:type="paragraph" w:customStyle="1" w:styleId="Fichefinanciretravailtitreacte">
    <w:name w:val="Fiche financière (travail) titre (acte)"/>
    <w:basedOn w:val="Normlny"/>
    <w:next w:val="Normlny"/>
    <w:rsid w:val="006C7F87"/>
    <w:pPr>
      <w:jc w:val="center"/>
    </w:pPr>
    <w:rPr>
      <w:rFonts w:eastAsia="Times New Roman"/>
      <w:b/>
      <w:u w:val="single"/>
      <w:lang w:eastAsia="en-GB"/>
    </w:rPr>
  </w:style>
  <w:style w:type="paragraph" w:customStyle="1" w:styleId="Fichefinancireattributiontitre">
    <w:name w:val="Fiche financière (attribution) titre"/>
    <w:basedOn w:val="Normlny"/>
    <w:next w:val="Normlny"/>
    <w:rsid w:val="006C7F87"/>
    <w:pPr>
      <w:jc w:val="center"/>
    </w:pPr>
    <w:rPr>
      <w:rFonts w:eastAsia="Times New Roman"/>
      <w:b/>
      <w:u w:val="single"/>
      <w:lang w:eastAsia="en-GB"/>
    </w:rPr>
  </w:style>
  <w:style w:type="paragraph" w:customStyle="1" w:styleId="Fichefinancireattributiontitreacte">
    <w:name w:val="Fiche financière (attribution) titre (acte)"/>
    <w:basedOn w:val="Normlny"/>
    <w:next w:val="Normlny"/>
    <w:rsid w:val="006C7F87"/>
    <w:pPr>
      <w:jc w:val="center"/>
    </w:pPr>
    <w:rPr>
      <w:rFonts w:eastAsia="Times New Roman"/>
      <w:b/>
      <w:u w:val="single"/>
      <w:lang w:eastAsia="en-GB"/>
    </w:rPr>
  </w:style>
  <w:style w:type="character" w:styleId="Odkaznakomentr">
    <w:name w:val="annotation reference"/>
    <w:rsid w:val="006C7F87"/>
    <w:rPr>
      <w:rFonts w:cs="Times New Roman"/>
      <w:sz w:val="16"/>
      <w:szCs w:val="16"/>
    </w:rPr>
  </w:style>
  <w:style w:type="paragraph" w:styleId="Textkomentra">
    <w:name w:val="annotation text"/>
    <w:basedOn w:val="Normlny"/>
    <w:link w:val="TextkomentraChar"/>
    <w:rsid w:val="006C7F87"/>
    <w:rPr>
      <w:rFonts w:eastAsia="Times New Roman"/>
      <w:sz w:val="20"/>
      <w:szCs w:val="20"/>
      <w:lang w:eastAsia="en-GB"/>
    </w:rPr>
  </w:style>
  <w:style w:type="character" w:customStyle="1" w:styleId="TextkomentraChar">
    <w:name w:val="Text komentára Char"/>
    <w:basedOn w:val="Predvolenpsmoodseku"/>
    <w:link w:val="Textkomentra"/>
    <w:rsid w:val="006C7F87"/>
    <w:rPr>
      <w:rFonts w:ascii="Times New Roman" w:eastAsia="Times New Roman" w:hAnsi="Times New Roman" w:cs="Times New Roman"/>
      <w:sz w:val="20"/>
      <w:szCs w:val="20"/>
      <w:lang w:val="sk-SK" w:eastAsia="en-GB"/>
    </w:rPr>
  </w:style>
  <w:style w:type="paragraph" w:styleId="Predmetkomentra">
    <w:name w:val="annotation subject"/>
    <w:basedOn w:val="Textkomentra"/>
    <w:next w:val="Textkomentra"/>
    <w:link w:val="PredmetkomentraChar"/>
    <w:rsid w:val="006C7F87"/>
    <w:rPr>
      <w:b/>
      <w:bCs/>
    </w:rPr>
  </w:style>
  <w:style w:type="character" w:customStyle="1" w:styleId="PredmetkomentraChar">
    <w:name w:val="Predmet komentára Char"/>
    <w:basedOn w:val="TextkomentraChar"/>
    <w:link w:val="Predmetkomentra"/>
    <w:rsid w:val="006C7F87"/>
    <w:rPr>
      <w:rFonts w:ascii="Times New Roman" w:eastAsia="Times New Roman" w:hAnsi="Times New Roman" w:cs="Times New Roman"/>
      <w:b/>
      <w:bCs/>
      <w:sz w:val="20"/>
      <w:szCs w:val="20"/>
      <w:lang w:val="sk-SK" w:eastAsia="en-GB"/>
    </w:rPr>
  </w:style>
  <w:style w:type="paragraph" w:styleId="Textbubliny">
    <w:name w:val="Balloon Text"/>
    <w:basedOn w:val="Normlny"/>
    <w:link w:val="TextbublinyChar"/>
    <w:rsid w:val="006C7F87"/>
    <w:rPr>
      <w:rFonts w:ascii="Tahoma" w:eastAsia="Times New Roman" w:hAnsi="Tahoma" w:cs="Tahoma"/>
      <w:sz w:val="16"/>
      <w:szCs w:val="16"/>
      <w:lang w:eastAsia="en-GB"/>
    </w:rPr>
  </w:style>
  <w:style w:type="character" w:customStyle="1" w:styleId="TextbublinyChar">
    <w:name w:val="Text bubliny Char"/>
    <w:basedOn w:val="Predvolenpsmoodseku"/>
    <w:link w:val="Textbubliny"/>
    <w:rsid w:val="006C7F87"/>
    <w:rPr>
      <w:rFonts w:ascii="Tahoma" w:eastAsia="Times New Roman" w:hAnsi="Tahoma" w:cs="Tahoma"/>
      <w:sz w:val="16"/>
      <w:szCs w:val="16"/>
      <w:lang w:val="sk-SK" w:eastAsia="en-GB"/>
    </w:rPr>
  </w:style>
  <w:style w:type="paragraph" w:styleId="Popis">
    <w:name w:val="caption"/>
    <w:basedOn w:val="Normlny"/>
    <w:next w:val="Normlny"/>
    <w:qFormat/>
    <w:rsid w:val="006C7F87"/>
    <w:rPr>
      <w:rFonts w:eastAsia="Times New Roman"/>
      <w:b/>
      <w:bCs/>
      <w:sz w:val="20"/>
      <w:szCs w:val="20"/>
      <w:lang w:eastAsia="en-GB"/>
    </w:rPr>
  </w:style>
  <w:style w:type="paragraph" w:styleId="Zoznamobrzkov">
    <w:name w:val="table of figures"/>
    <w:basedOn w:val="Normlny"/>
    <w:next w:val="Normlny"/>
    <w:rsid w:val="006C7F87"/>
    <w:rPr>
      <w:rFonts w:eastAsia="Times New Roman"/>
      <w:lang w:eastAsia="en-GB"/>
    </w:rPr>
  </w:style>
  <w:style w:type="character" w:styleId="slostrany">
    <w:name w:val="page number"/>
    <w:rsid w:val="006C7F87"/>
  </w:style>
  <w:style w:type="character" w:customStyle="1" w:styleId="tw4winMark">
    <w:name w:val="tw4winMark"/>
    <w:rsid w:val="006C7F87"/>
    <w:rPr>
      <w:vanish/>
      <w:color w:val="800080"/>
      <w:vertAlign w:val="subscript"/>
    </w:rPr>
  </w:style>
  <w:style w:type="character" w:styleId="PouitHypertextovPrepojenie">
    <w:name w:val="FollowedHyperlink"/>
    <w:rsid w:val="006C7F87"/>
    <w:rPr>
      <w:color w:val="800080"/>
      <w:u w:val="single"/>
    </w:rPr>
  </w:style>
  <w:style w:type="paragraph" w:customStyle="1" w:styleId="Sous-titreobjet">
    <w:name w:val="Sous-titre objet"/>
    <w:basedOn w:val="Normlny"/>
    <w:rsid w:val="006C7F87"/>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6C7F87"/>
  </w:style>
  <w:style w:type="paragraph" w:styleId="Revzia">
    <w:name w:val="Revision"/>
    <w:hidden/>
    <w:uiPriority w:val="99"/>
    <w:semiHidden/>
    <w:rsid w:val="006C7F87"/>
    <w:rPr>
      <w:rFonts w:ascii="Calibri" w:eastAsia="Calibri" w:hAnsi="Calibri" w:cs="Times New Roman"/>
      <w:sz w:val="24"/>
      <w:lang w:eastAsia="en-GB"/>
    </w:rPr>
  </w:style>
  <w:style w:type="paragraph" w:customStyle="1" w:styleId="FooterCoverPage">
    <w:name w:val="Footer Cover Page"/>
    <w:basedOn w:val="Normlny"/>
    <w:link w:val="FooterCoverPageChar"/>
    <w:rsid w:val="006C7F87"/>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6C7F87"/>
    <w:rPr>
      <w:rFonts w:ascii="Times New Roman" w:hAnsi="Times New Roman" w:cs="Times New Roman"/>
      <w:b/>
      <w:sz w:val="28"/>
      <w:lang w:val="sk-SK"/>
    </w:rPr>
  </w:style>
  <w:style w:type="character" w:customStyle="1" w:styleId="FooterCoverPageChar">
    <w:name w:val="Footer Cover Page Char"/>
    <w:link w:val="FooterCoverPage"/>
    <w:rsid w:val="006C7F87"/>
    <w:rPr>
      <w:rFonts w:ascii="Times New Roman" w:eastAsia="Calibri" w:hAnsi="Times New Roman" w:cs="Times New Roman"/>
      <w:sz w:val="24"/>
      <w:lang w:val="sk-SK" w:eastAsia="en-GB"/>
    </w:rPr>
  </w:style>
  <w:style w:type="paragraph" w:customStyle="1" w:styleId="HeaderCoverPage">
    <w:name w:val="Header Cover Page"/>
    <w:basedOn w:val="Normlny"/>
    <w:link w:val="HeaderCoverPageChar"/>
    <w:rsid w:val="006C7F87"/>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6C7F87"/>
    <w:rPr>
      <w:rFonts w:ascii="Times New Roman" w:eastAsia="Calibri" w:hAnsi="Times New Roman" w:cs="Times New Roman"/>
      <w:sz w:val="24"/>
      <w:lang w:val="sk-SK" w:eastAsia="en-GB"/>
    </w:rPr>
  </w:style>
  <w:style w:type="character" w:customStyle="1" w:styleId="FooterSensitivityChar">
    <w:name w:val="Footer Sensitivity Char"/>
    <w:rsid w:val="006C7F87"/>
    <w:rPr>
      <w:rFonts w:ascii="Times New Roman" w:hAnsi="Times New Roman" w:cs="Times New Roman"/>
      <w:b/>
      <w:sz w:val="32"/>
      <w:lang w:val="sk-SK"/>
    </w:rPr>
  </w:style>
  <w:style w:type="character" w:customStyle="1" w:styleId="HeaderSensitivityChar">
    <w:name w:val="Header Sensitivity Char"/>
    <w:rsid w:val="006C7F87"/>
    <w:rPr>
      <w:rFonts w:ascii="Times New Roman" w:hAnsi="Times New Roman" w:cs="Times New Roman"/>
      <w:b/>
      <w:sz w:val="32"/>
      <w:lang w:val="sk-SK"/>
    </w:rPr>
  </w:style>
  <w:style w:type="character" w:customStyle="1" w:styleId="HeaderSensitivityRightChar">
    <w:name w:val="Header Sensitivity Right Char"/>
    <w:rsid w:val="006C7F87"/>
    <w:rPr>
      <w:rFonts w:ascii="Times New Roman" w:hAnsi="Times New Roman" w:cs="Times New Roman"/>
      <w:sz w:val="28"/>
      <w:lang w:val="sk-SK"/>
    </w:rPr>
  </w:style>
  <w:style w:type="paragraph" w:customStyle="1" w:styleId="LegalNumPar">
    <w:name w:val="LegalNumPar"/>
    <w:basedOn w:val="Normlny"/>
    <w:rsid w:val="006C7F87"/>
    <w:pPr>
      <w:numPr>
        <w:numId w:val="16"/>
      </w:numPr>
      <w:spacing w:line="360" w:lineRule="auto"/>
    </w:pPr>
    <w:rPr>
      <w:rFonts w:eastAsia="Times New Roman"/>
      <w:lang w:eastAsia="en-GB"/>
    </w:rPr>
  </w:style>
  <w:style w:type="paragraph" w:customStyle="1" w:styleId="LegalNumPar2">
    <w:name w:val="LegalNumPar2"/>
    <w:basedOn w:val="Normlny"/>
    <w:rsid w:val="006C7F87"/>
    <w:pPr>
      <w:numPr>
        <w:ilvl w:val="1"/>
        <w:numId w:val="16"/>
      </w:numPr>
      <w:spacing w:line="360" w:lineRule="auto"/>
    </w:pPr>
    <w:rPr>
      <w:rFonts w:eastAsia="Times New Roman"/>
      <w:lang w:eastAsia="en-GB"/>
    </w:rPr>
  </w:style>
  <w:style w:type="paragraph" w:customStyle="1" w:styleId="LegalNumPar3">
    <w:name w:val="LegalNumPar3"/>
    <w:basedOn w:val="Normlny"/>
    <w:rsid w:val="006C7F87"/>
    <w:pPr>
      <w:numPr>
        <w:ilvl w:val="2"/>
        <w:numId w:val="16"/>
      </w:numPr>
      <w:spacing w:line="360" w:lineRule="auto"/>
    </w:pPr>
    <w:rPr>
      <w:rFonts w:eastAsia="Times New Roman"/>
      <w:lang w:eastAsia="en-GB"/>
    </w:rPr>
  </w:style>
  <w:style w:type="paragraph" w:styleId="Odsekzoznamu">
    <w:name w:val="List Paragraph"/>
    <w:basedOn w:val="Normlny"/>
    <w:uiPriority w:val="34"/>
    <w:qFormat/>
    <w:rsid w:val="006C7F87"/>
    <w:pPr>
      <w:ind w:left="720"/>
      <w:contextualSpacing/>
    </w:pPr>
    <w:rPr>
      <w:rFonts w:eastAsia="Times New Roman"/>
      <w:lang w:eastAsia="en-GB"/>
    </w:rPr>
  </w:style>
  <w:style w:type="character" w:customStyle="1" w:styleId="Nevyrieenzmienka1">
    <w:name w:val="Nevyriešená zmienka1"/>
    <w:basedOn w:val="Predvolenpsmoodseku"/>
    <w:uiPriority w:val="99"/>
    <w:semiHidden/>
    <w:unhideWhenUsed/>
    <w:rsid w:val="006C7F87"/>
    <w:rPr>
      <w:color w:val="605E5C"/>
      <w:shd w:val="clear" w:color="auto" w:fill="E1DFDD"/>
    </w:rPr>
  </w:style>
  <w:style w:type="character" w:styleId="Vrazn">
    <w:name w:val="Strong"/>
    <w:basedOn w:val="Predvolenpsmoodseku"/>
    <w:qFormat/>
    <w:rsid w:val="006C7F87"/>
    <w:rPr>
      <w:b/>
      <w:bCs/>
    </w:rPr>
  </w:style>
  <w:style w:type="character" w:styleId="Zvraznenie">
    <w:name w:val="Emphasis"/>
    <w:basedOn w:val="Predvolenpsmoodseku"/>
    <w:qFormat/>
    <w:rsid w:val="006C7F87"/>
    <w:rPr>
      <w:i/>
      <w:iCs/>
    </w:rPr>
  </w:style>
  <w:style w:type="character" w:customStyle="1" w:styleId="Zmienka1">
    <w:name w:val="Zmienka1"/>
    <w:basedOn w:val="Predvolenpsmoodseku"/>
    <w:uiPriority w:val="99"/>
    <w:unhideWhenUsed/>
    <w:rsid w:val="006C7F87"/>
    <w:rPr>
      <w:color w:val="2B579A"/>
      <w:shd w:val="clear" w:color="auto" w:fill="E1DFDD"/>
    </w:rPr>
  </w:style>
  <w:style w:type="character" w:customStyle="1" w:styleId="normaltextrun">
    <w:name w:val="normaltextrun"/>
    <w:basedOn w:val="Predvolenpsmoodseku"/>
    <w:rsid w:val="006C7F87"/>
  </w:style>
  <w:style w:type="character" w:customStyle="1" w:styleId="eop">
    <w:name w:val="eop"/>
    <w:basedOn w:val="Predvolenpsmoodseku"/>
    <w:rsid w:val="006C7F87"/>
  </w:style>
  <w:style w:type="paragraph" w:customStyle="1" w:styleId="CharCharChar1">
    <w:name w:val="Char Char Char1"/>
    <w:basedOn w:val="Normlny"/>
    <w:link w:val="Odkaznapoznmkupodiarou"/>
    <w:uiPriority w:val="99"/>
    <w:rsid w:val="00FE1115"/>
    <w:pPr>
      <w:spacing w:before="0" w:after="160" w:line="240" w:lineRule="exact"/>
    </w:pPr>
    <w:rPr>
      <w:rFonts w:asciiTheme="minorHAnsi" w:hAnsiTheme="minorHAnsi" w:cstheme="minorBidi"/>
      <w:sz w:val="22"/>
      <w:vertAlign w:val="superscript"/>
    </w:rPr>
  </w:style>
  <w:style w:type="character" w:customStyle="1" w:styleId="superscript">
    <w:name w:val="superscript"/>
    <w:basedOn w:val="Predvolenpsmoodseku"/>
    <w:rsid w:val="001275AC"/>
  </w:style>
  <w:style w:type="paragraph" w:customStyle="1" w:styleId="paragraph">
    <w:name w:val="paragraph"/>
    <w:basedOn w:val="Normlny"/>
    <w:rsid w:val="001275AC"/>
    <w:pPr>
      <w:spacing w:before="100" w:beforeAutospacing="1" w:after="100" w:afterAutospacing="1"/>
      <w:jc w:val="left"/>
    </w:pPr>
    <w:rPr>
      <w:rFonts w:eastAsia="Times New Roman"/>
      <w:szCs w:val="24"/>
      <w:lang w:eastAsia="en-IE"/>
    </w:rPr>
  </w:style>
  <w:style w:type="character" w:customStyle="1" w:styleId="HlavikaChar">
    <w:name w:val="Hlavička Char"/>
    <w:basedOn w:val="Predvolenpsmoodseku"/>
    <w:link w:val="Hlavika"/>
    <w:uiPriority w:val="99"/>
    <w:rsid w:val="008434AF"/>
    <w:rPr>
      <w:rFonts w:ascii="Times New Roman" w:hAnsi="Times New Roman" w:cs="Times New Roman"/>
      <w:sz w:val="24"/>
      <w:lang w:val="sk-SK"/>
    </w:rPr>
  </w:style>
  <w:style w:type="character" w:customStyle="1" w:styleId="PtaChar">
    <w:name w:val="Päta Char"/>
    <w:basedOn w:val="Predvolenpsmoodseku"/>
    <w:link w:val="Pta"/>
    <w:uiPriority w:val="99"/>
    <w:rsid w:val="008434AF"/>
    <w:rPr>
      <w:rFonts w:ascii="Times New Roman" w:hAnsi="Times New Roman" w:cs="Times New Roman"/>
      <w:sz w:val="24"/>
      <w:lang w:val="sk-SK"/>
    </w:rPr>
  </w:style>
  <w:style w:type="paragraph" w:styleId="Textpoznmkypodiarou">
    <w:name w:val="footnote text"/>
    <w:basedOn w:val="Normlny"/>
    <w:link w:val="TextpoznmkypodiarouChar"/>
    <w:uiPriority w:val="99"/>
    <w:semiHidden/>
    <w:unhideWhenUsed/>
    <w:pPr>
      <w:spacing w:before="0" w:after="0"/>
      <w:ind w:left="720" w:hanging="720"/>
    </w:pPr>
    <w:rPr>
      <w:sz w:val="20"/>
      <w:szCs w:val="20"/>
    </w:rPr>
  </w:style>
  <w:style w:type="character" w:customStyle="1" w:styleId="TextpoznmkypodiarouChar">
    <w:name w:val="Text poznámky pod čiarou Char"/>
    <w:basedOn w:val="Predvolenpsmoodseku"/>
    <w:link w:val="Textpoznmkypodiarou"/>
    <w:uiPriority w:val="99"/>
    <w:semiHidden/>
    <w:rPr>
      <w:rFonts w:ascii="Times New Roman" w:hAnsi="Times New Roman" w:cs="Times New Roman"/>
      <w:sz w:val="20"/>
      <w:szCs w:val="20"/>
      <w:shd w:val="clear" w:color="auto" w:fill="auto"/>
      <w:lang w:val="en-GB"/>
    </w:rPr>
  </w:style>
  <w:style w:type="character" w:customStyle="1" w:styleId="Nadpis1Char">
    <w:name w:val="Nadpis 1 Char"/>
    <w:basedOn w:val="Predvolenpsmoodseku"/>
    <w:link w:val="Nadpis1"/>
    <w:uiPriority w:val="9"/>
    <w:rPr>
      <w:rFonts w:ascii="Times New Roman" w:eastAsiaTheme="majorEastAsia" w:hAnsi="Times New Roman" w:cs="Times New Roman"/>
      <w:b/>
      <w:bCs/>
      <w:smallCaps/>
      <w:sz w:val="24"/>
      <w:szCs w:val="28"/>
      <w:lang w:val="sk-SK"/>
    </w:rPr>
  </w:style>
  <w:style w:type="character" w:customStyle="1" w:styleId="Nadpis2Char">
    <w:name w:val="Nadpis 2 Char"/>
    <w:basedOn w:val="Predvolenpsmoodseku"/>
    <w:link w:val="Nadpis2"/>
    <w:uiPriority w:val="9"/>
    <w:semiHidden/>
    <w:rPr>
      <w:rFonts w:ascii="Times New Roman" w:eastAsiaTheme="majorEastAsia" w:hAnsi="Times New Roman" w:cs="Times New Roman"/>
      <w:b/>
      <w:bCs/>
      <w:sz w:val="24"/>
      <w:szCs w:val="26"/>
      <w:lang w:val="sk-SK"/>
    </w:rPr>
  </w:style>
  <w:style w:type="character" w:customStyle="1" w:styleId="Nadpis3Char">
    <w:name w:val="Nadpis 3 Char"/>
    <w:basedOn w:val="Predvolenpsmoodseku"/>
    <w:link w:val="Nadpis3"/>
    <w:uiPriority w:val="9"/>
    <w:semiHidden/>
    <w:rPr>
      <w:rFonts w:ascii="Times New Roman" w:eastAsiaTheme="majorEastAsia" w:hAnsi="Times New Roman" w:cs="Times New Roman"/>
      <w:bCs/>
      <w:i/>
      <w:sz w:val="24"/>
      <w:lang w:val="sk-SK"/>
    </w:rPr>
  </w:style>
  <w:style w:type="character" w:customStyle="1" w:styleId="Nadpis4Char">
    <w:name w:val="Nadpis 4 Char"/>
    <w:basedOn w:val="Predvolenpsmoodseku"/>
    <w:link w:val="Nadpis4"/>
    <w:uiPriority w:val="9"/>
    <w:semiHidden/>
    <w:rPr>
      <w:rFonts w:ascii="Times New Roman" w:eastAsiaTheme="majorEastAsia" w:hAnsi="Times New Roman" w:cs="Times New Roman"/>
      <w:bCs/>
      <w:iCs/>
      <w:sz w:val="24"/>
      <w:lang w:val="sk-SK"/>
    </w:rPr>
  </w:style>
  <w:style w:type="character" w:customStyle="1" w:styleId="Nadpis5Char">
    <w:name w:val="Nadpis 5 Char"/>
    <w:basedOn w:val="Predvolenpsmoodseku"/>
    <w:link w:val="Nadpis5"/>
    <w:uiPriority w:val="9"/>
    <w:semiHidden/>
    <w:rPr>
      <w:rFonts w:ascii="Times New Roman" w:eastAsiaTheme="majorEastAsia" w:hAnsi="Times New Roman" w:cs="Times New Roman"/>
      <w:sz w:val="24"/>
      <w:lang w:val="sk-SK"/>
    </w:rPr>
  </w:style>
  <w:style w:type="character" w:customStyle="1" w:styleId="Nadpis6Char">
    <w:name w:val="Nadpis 6 Char"/>
    <w:basedOn w:val="Predvolenpsmoodseku"/>
    <w:link w:val="Nadpis6"/>
    <w:uiPriority w:val="9"/>
    <w:semiHidden/>
    <w:rPr>
      <w:rFonts w:ascii="Times New Roman" w:eastAsiaTheme="majorEastAsia" w:hAnsi="Times New Roman" w:cs="Times New Roman"/>
      <w:iCs/>
      <w:sz w:val="24"/>
      <w:lang w:val="sk-SK"/>
    </w:rPr>
  </w:style>
  <w:style w:type="character" w:customStyle="1" w:styleId="Nadpis7Char">
    <w:name w:val="Nadpis 7 Char"/>
    <w:basedOn w:val="Predvolenpsmoodseku"/>
    <w:link w:val="Nadpis7"/>
    <w:uiPriority w:val="9"/>
    <w:semiHidden/>
    <w:rPr>
      <w:rFonts w:ascii="Times New Roman" w:eastAsiaTheme="majorEastAsia" w:hAnsi="Times New Roman" w:cs="Times New Roman"/>
      <w:iCs/>
      <w:sz w:val="24"/>
      <w:lang w:val="sk-SK"/>
    </w:rPr>
  </w:style>
  <w:style w:type="paragraph" w:styleId="Hlavikaobsahu">
    <w:name w:val="TOC Heading"/>
    <w:basedOn w:val="Normlny"/>
    <w:next w:val="Normlny"/>
    <w:uiPriority w:val="39"/>
    <w:semiHidden/>
    <w:unhideWhenUsed/>
    <w:qFormat/>
    <w:pPr>
      <w:spacing w:after="240"/>
      <w:jc w:val="center"/>
    </w:pPr>
    <w:rPr>
      <w:b/>
      <w:sz w:val="28"/>
    </w:rPr>
  </w:style>
  <w:style w:type="paragraph" w:styleId="Obsah1">
    <w:name w:val="toc 1"/>
    <w:basedOn w:val="Normlny"/>
    <w:next w:val="Normlny"/>
    <w:uiPriority w:val="39"/>
    <w:semiHidden/>
    <w:unhideWhenUsed/>
    <w:pPr>
      <w:tabs>
        <w:tab w:val="right" w:leader="dot" w:pos="9071"/>
      </w:tabs>
      <w:spacing w:before="60"/>
      <w:ind w:left="850" w:hanging="850"/>
      <w:jc w:val="left"/>
    </w:pPr>
  </w:style>
  <w:style w:type="paragraph" w:styleId="Obsah2">
    <w:name w:val="toc 2"/>
    <w:basedOn w:val="Normlny"/>
    <w:next w:val="Normlny"/>
    <w:uiPriority w:val="39"/>
    <w:semiHidden/>
    <w:unhideWhenUsed/>
    <w:pPr>
      <w:tabs>
        <w:tab w:val="right" w:leader="dot" w:pos="9071"/>
      </w:tabs>
      <w:spacing w:before="60"/>
      <w:ind w:left="850" w:hanging="850"/>
      <w:jc w:val="left"/>
    </w:pPr>
  </w:style>
  <w:style w:type="paragraph" w:styleId="Obsah3">
    <w:name w:val="toc 3"/>
    <w:basedOn w:val="Normlny"/>
    <w:next w:val="Normlny"/>
    <w:uiPriority w:val="39"/>
    <w:semiHidden/>
    <w:unhideWhenUsed/>
    <w:pPr>
      <w:tabs>
        <w:tab w:val="right" w:leader="dot" w:pos="9071"/>
      </w:tabs>
      <w:spacing w:before="60"/>
      <w:ind w:left="850" w:hanging="850"/>
      <w:jc w:val="left"/>
    </w:pPr>
  </w:style>
  <w:style w:type="paragraph" w:styleId="Obsah4">
    <w:name w:val="toc 4"/>
    <w:basedOn w:val="Normlny"/>
    <w:next w:val="Normlny"/>
    <w:uiPriority w:val="39"/>
    <w:semiHidden/>
    <w:unhideWhenUsed/>
    <w:pPr>
      <w:tabs>
        <w:tab w:val="right" w:leader="dot" w:pos="9071"/>
      </w:tabs>
      <w:spacing w:before="60"/>
      <w:ind w:left="850" w:hanging="850"/>
      <w:jc w:val="left"/>
    </w:pPr>
  </w:style>
  <w:style w:type="paragraph" w:styleId="Obsah5">
    <w:name w:val="toc 5"/>
    <w:basedOn w:val="Normlny"/>
    <w:next w:val="Normlny"/>
    <w:uiPriority w:val="39"/>
    <w:semiHidden/>
    <w:unhideWhenUsed/>
    <w:pPr>
      <w:tabs>
        <w:tab w:val="right" w:leader="dot" w:pos="9071"/>
      </w:tabs>
      <w:spacing w:before="300"/>
      <w:jc w:val="left"/>
    </w:pPr>
  </w:style>
  <w:style w:type="paragraph" w:styleId="Obsah6">
    <w:name w:val="toc 6"/>
    <w:basedOn w:val="Normlny"/>
    <w:next w:val="Normlny"/>
    <w:uiPriority w:val="39"/>
    <w:semiHidden/>
    <w:unhideWhenUsed/>
    <w:pPr>
      <w:tabs>
        <w:tab w:val="right" w:leader="dot" w:pos="9071"/>
      </w:tabs>
      <w:spacing w:before="240"/>
      <w:jc w:val="left"/>
    </w:pPr>
  </w:style>
  <w:style w:type="paragraph" w:styleId="Obsah7">
    <w:name w:val="toc 7"/>
    <w:basedOn w:val="Normlny"/>
    <w:next w:val="Normlny"/>
    <w:uiPriority w:val="39"/>
    <w:semiHidden/>
    <w:unhideWhenUsed/>
    <w:pPr>
      <w:tabs>
        <w:tab w:val="right" w:leader="dot" w:pos="9071"/>
      </w:tabs>
      <w:spacing w:before="180"/>
      <w:jc w:val="left"/>
    </w:pPr>
  </w:style>
  <w:style w:type="paragraph" w:styleId="Obsah8">
    <w:name w:val="toc 8"/>
    <w:basedOn w:val="Normlny"/>
    <w:next w:val="Normlny"/>
    <w:uiPriority w:val="39"/>
    <w:semiHidden/>
    <w:unhideWhenUsed/>
    <w:pPr>
      <w:tabs>
        <w:tab w:val="right" w:leader="dot" w:pos="9071"/>
      </w:tabs>
      <w:jc w:val="left"/>
    </w:pPr>
  </w:style>
  <w:style w:type="paragraph" w:styleId="Obsah9">
    <w:name w:val="toc 9"/>
    <w:basedOn w:val="Normlny"/>
    <w:next w:val="Normlny"/>
    <w:uiPriority w:val="39"/>
    <w:semiHidden/>
    <w:unhideWhenUsed/>
    <w:pPr>
      <w:tabs>
        <w:tab w:val="right" w:leader="dot" w:pos="9071"/>
      </w:tabs>
      <w:ind w:left="1417" w:hanging="1417"/>
      <w:jc w:val="left"/>
    </w:pPr>
  </w:style>
  <w:style w:type="character" w:styleId="Odkaznapoznmkupodiarou">
    <w:name w:val="footnote reference"/>
    <w:basedOn w:val="Predvolenpsmoodseku"/>
    <w:link w:val="CharCharChar1"/>
    <w:uiPriority w:val="99"/>
    <w:semiHidden/>
    <w:unhideWhenUsed/>
    <w:rPr>
      <w:shd w:val="clear" w:color="auto" w:fill="auto"/>
      <w:vertAlign w:val="superscript"/>
    </w:rPr>
  </w:style>
  <w:style w:type="paragraph" w:customStyle="1" w:styleId="HeaderSensitivity">
    <w:name w:val="Header Sensitivity"/>
    <w:basedOn w:val="Normlny"/>
    <w:rsid w:val="008434A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lny"/>
    <w:rsid w:val="008434AF"/>
    <w:pPr>
      <w:spacing w:before="0"/>
      <w:jc w:val="right"/>
    </w:pPr>
    <w:rPr>
      <w:sz w:val="28"/>
    </w:rPr>
  </w:style>
  <w:style w:type="paragraph" w:customStyle="1" w:styleId="FooterSensitivity">
    <w:name w:val="Footer Sensitivity"/>
    <w:basedOn w:val="Normlny"/>
    <w:rsid w:val="008434A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lny"/>
    <w:pPr>
      <w:ind w:left="850"/>
    </w:pPr>
  </w:style>
  <w:style w:type="paragraph" w:customStyle="1" w:styleId="Text2">
    <w:name w:val="Text 2"/>
    <w:basedOn w:val="Normlny"/>
    <w:pPr>
      <w:ind w:left="1417"/>
    </w:pPr>
  </w:style>
  <w:style w:type="paragraph" w:customStyle="1" w:styleId="Text3">
    <w:name w:val="Text 3"/>
    <w:basedOn w:val="Normlny"/>
    <w:pPr>
      <w:ind w:left="1984"/>
    </w:pPr>
  </w:style>
  <w:style w:type="paragraph" w:customStyle="1" w:styleId="Text4">
    <w:name w:val="Text 4"/>
    <w:basedOn w:val="Normlny"/>
    <w:pPr>
      <w:ind w:left="2551"/>
    </w:pPr>
  </w:style>
  <w:style w:type="paragraph" w:customStyle="1" w:styleId="Text5">
    <w:name w:val="Text 5"/>
    <w:basedOn w:val="Normlny"/>
    <w:pPr>
      <w:ind w:left="3118"/>
    </w:pPr>
  </w:style>
  <w:style w:type="paragraph" w:customStyle="1" w:styleId="Text6">
    <w:name w:val="Text 6"/>
    <w:basedOn w:val="Normlny"/>
    <w:pPr>
      <w:ind w:left="3685"/>
    </w:pPr>
  </w:style>
  <w:style w:type="paragraph" w:customStyle="1" w:styleId="NormalCentered">
    <w:name w:val="Normal Centered"/>
    <w:basedOn w:val="Normlny"/>
    <w:pPr>
      <w:jc w:val="center"/>
    </w:pPr>
  </w:style>
  <w:style w:type="paragraph" w:customStyle="1" w:styleId="NormalLeft">
    <w:name w:val="Normal Left"/>
    <w:basedOn w:val="Normlny"/>
    <w:pPr>
      <w:jc w:val="left"/>
    </w:pPr>
  </w:style>
  <w:style w:type="paragraph" w:customStyle="1" w:styleId="NormalRight">
    <w:name w:val="Normal Right"/>
    <w:basedOn w:val="Normlny"/>
    <w:pPr>
      <w:jc w:val="right"/>
    </w:pPr>
  </w:style>
  <w:style w:type="paragraph" w:customStyle="1" w:styleId="QuotedText">
    <w:name w:val="Quoted Text"/>
    <w:basedOn w:val="Normlny"/>
    <w:pPr>
      <w:ind w:left="1417"/>
    </w:pPr>
  </w:style>
  <w:style w:type="paragraph" w:customStyle="1" w:styleId="Point0">
    <w:name w:val="Point 0"/>
    <w:basedOn w:val="Normlny"/>
    <w:pPr>
      <w:ind w:left="850" w:hanging="850"/>
    </w:pPr>
  </w:style>
  <w:style w:type="paragraph" w:customStyle="1" w:styleId="Point1">
    <w:name w:val="Point 1"/>
    <w:basedOn w:val="Normlny"/>
    <w:pPr>
      <w:ind w:left="1417" w:hanging="567"/>
    </w:pPr>
  </w:style>
  <w:style w:type="paragraph" w:customStyle="1" w:styleId="Point2">
    <w:name w:val="Point 2"/>
    <w:basedOn w:val="Normlny"/>
    <w:pPr>
      <w:ind w:left="1984" w:hanging="567"/>
    </w:pPr>
  </w:style>
  <w:style w:type="paragraph" w:customStyle="1" w:styleId="Point3">
    <w:name w:val="Point 3"/>
    <w:basedOn w:val="Normlny"/>
    <w:pPr>
      <w:ind w:left="2551" w:hanging="567"/>
    </w:pPr>
  </w:style>
  <w:style w:type="paragraph" w:customStyle="1" w:styleId="Point4">
    <w:name w:val="Point 4"/>
    <w:basedOn w:val="Normlny"/>
    <w:pPr>
      <w:ind w:left="3118" w:hanging="567"/>
    </w:pPr>
  </w:style>
  <w:style w:type="paragraph" w:customStyle="1" w:styleId="Point5">
    <w:name w:val="Point 5"/>
    <w:basedOn w:val="Normlny"/>
    <w:pPr>
      <w:ind w:left="3685"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Tiret5">
    <w:name w:val="Tiret 5"/>
    <w:basedOn w:val="Point5"/>
    <w:pPr>
      <w:numPr>
        <w:numId w:val="27"/>
      </w:numPr>
    </w:pPr>
  </w:style>
  <w:style w:type="paragraph" w:customStyle="1" w:styleId="PointDouble0">
    <w:name w:val="PointDouble 0"/>
    <w:basedOn w:val="Normlny"/>
    <w:pPr>
      <w:tabs>
        <w:tab w:val="left" w:pos="850"/>
      </w:tabs>
      <w:ind w:left="1417" w:hanging="1417"/>
    </w:pPr>
  </w:style>
  <w:style w:type="paragraph" w:customStyle="1" w:styleId="PointDouble1">
    <w:name w:val="PointDouble 1"/>
    <w:basedOn w:val="Normlny"/>
    <w:pPr>
      <w:tabs>
        <w:tab w:val="left" w:pos="1417"/>
      </w:tabs>
      <w:ind w:left="1984" w:hanging="1134"/>
    </w:pPr>
  </w:style>
  <w:style w:type="paragraph" w:customStyle="1" w:styleId="PointDouble2">
    <w:name w:val="PointDouble 2"/>
    <w:basedOn w:val="Normlny"/>
    <w:pPr>
      <w:tabs>
        <w:tab w:val="left" w:pos="1984"/>
      </w:tabs>
      <w:ind w:left="2551" w:hanging="1134"/>
    </w:pPr>
  </w:style>
  <w:style w:type="paragraph" w:customStyle="1" w:styleId="PointDouble3">
    <w:name w:val="PointDouble 3"/>
    <w:basedOn w:val="Normlny"/>
    <w:pPr>
      <w:tabs>
        <w:tab w:val="left" w:pos="2551"/>
      </w:tabs>
      <w:ind w:left="3118" w:hanging="1134"/>
    </w:pPr>
  </w:style>
  <w:style w:type="paragraph" w:customStyle="1" w:styleId="PointDouble4">
    <w:name w:val="PointDouble 4"/>
    <w:basedOn w:val="Normlny"/>
    <w:pPr>
      <w:tabs>
        <w:tab w:val="left" w:pos="3118"/>
      </w:tabs>
      <w:ind w:left="3685" w:hanging="1134"/>
    </w:pPr>
  </w:style>
  <w:style w:type="paragraph" w:customStyle="1" w:styleId="PointTriple0">
    <w:name w:val="PointTriple 0"/>
    <w:basedOn w:val="Normlny"/>
    <w:pPr>
      <w:tabs>
        <w:tab w:val="left" w:pos="850"/>
        <w:tab w:val="left" w:pos="1417"/>
      </w:tabs>
      <w:ind w:left="1984" w:hanging="1984"/>
    </w:pPr>
  </w:style>
  <w:style w:type="paragraph" w:customStyle="1" w:styleId="PointTriple1">
    <w:name w:val="PointTriple 1"/>
    <w:basedOn w:val="Normlny"/>
    <w:pPr>
      <w:tabs>
        <w:tab w:val="left" w:pos="1417"/>
        <w:tab w:val="left" w:pos="1984"/>
      </w:tabs>
      <w:ind w:left="2551" w:hanging="1701"/>
    </w:pPr>
  </w:style>
  <w:style w:type="paragraph" w:customStyle="1" w:styleId="PointTriple2">
    <w:name w:val="PointTriple 2"/>
    <w:basedOn w:val="Normlny"/>
    <w:pPr>
      <w:tabs>
        <w:tab w:val="left" w:pos="1984"/>
        <w:tab w:val="left" w:pos="2551"/>
      </w:tabs>
      <w:ind w:left="3118" w:hanging="1701"/>
    </w:pPr>
  </w:style>
  <w:style w:type="paragraph" w:customStyle="1" w:styleId="PointTriple3">
    <w:name w:val="PointTriple 3"/>
    <w:basedOn w:val="Normlny"/>
    <w:pPr>
      <w:tabs>
        <w:tab w:val="left" w:pos="2551"/>
        <w:tab w:val="left" w:pos="3118"/>
      </w:tabs>
      <w:ind w:left="3685" w:hanging="1701"/>
    </w:pPr>
  </w:style>
  <w:style w:type="paragraph" w:customStyle="1" w:styleId="PointTriple4">
    <w:name w:val="PointTriple 4"/>
    <w:basedOn w:val="Normlny"/>
    <w:pPr>
      <w:tabs>
        <w:tab w:val="left" w:pos="3118"/>
        <w:tab w:val="left" w:pos="3685"/>
      </w:tabs>
      <w:ind w:left="4252" w:hanging="1701"/>
    </w:pPr>
  </w:style>
  <w:style w:type="paragraph" w:customStyle="1" w:styleId="NumPar1">
    <w:name w:val="NumPar 1"/>
    <w:basedOn w:val="Normlny"/>
    <w:next w:val="Text1"/>
    <w:pPr>
      <w:numPr>
        <w:numId w:val="28"/>
      </w:numPr>
    </w:pPr>
  </w:style>
  <w:style w:type="paragraph" w:customStyle="1" w:styleId="NumPar2">
    <w:name w:val="NumPar 2"/>
    <w:basedOn w:val="Normlny"/>
    <w:next w:val="Text1"/>
    <w:pPr>
      <w:numPr>
        <w:ilvl w:val="1"/>
        <w:numId w:val="28"/>
      </w:numPr>
    </w:pPr>
  </w:style>
  <w:style w:type="paragraph" w:customStyle="1" w:styleId="NumPar3">
    <w:name w:val="NumPar 3"/>
    <w:basedOn w:val="Normlny"/>
    <w:next w:val="Text1"/>
    <w:pPr>
      <w:numPr>
        <w:ilvl w:val="2"/>
        <w:numId w:val="28"/>
      </w:numPr>
    </w:pPr>
  </w:style>
  <w:style w:type="paragraph" w:customStyle="1" w:styleId="NumPar4">
    <w:name w:val="NumPar 4"/>
    <w:basedOn w:val="Normlny"/>
    <w:next w:val="Text1"/>
    <w:pPr>
      <w:numPr>
        <w:ilvl w:val="3"/>
        <w:numId w:val="28"/>
      </w:numPr>
    </w:pPr>
  </w:style>
  <w:style w:type="paragraph" w:customStyle="1" w:styleId="NumPar5">
    <w:name w:val="NumPar 5"/>
    <w:basedOn w:val="Normlny"/>
    <w:next w:val="Text2"/>
    <w:pPr>
      <w:numPr>
        <w:ilvl w:val="4"/>
        <w:numId w:val="28"/>
      </w:numPr>
    </w:pPr>
  </w:style>
  <w:style w:type="paragraph" w:customStyle="1" w:styleId="NumPar6">
    <w:name w:val="NumPar 6"/>
    <w:basedOn w:val="Normlny"/>
    <w:next w:val="Text2"/>
    <w:pPr>
      <w:numPr>
        <w:ilvl w:val="5"/>
        <w:numId w:val="28"/>
      </w:numPr>
    </w:pPr>
  </w:style>
  <w:style w:type="paragraph" w:customStyle="1" w:styleId="NumPar7">
    <w:name w:val="NumPar 7"/>
    <w:basedOn w:val="Normlny"/>
    <w:next w:val="Text2"/>
    <w:pPr>
      <w:numPr>
        <w:ilvl w:val="6"/>
        <w:numId w:val="28"/>
      </w:numPr>
    </w:pPr>
  </w:style>
  <w:style w:type="paragraph" w:customStyle="1" w:styleId="ManualNumPar1">
    <w:name w:val="Manual NumPar 1"/>
    <w:basedOn w:val="Normlny"/>
    <w:next w:val="Text1"/>
    <w:pPr>
      <w:ind w:left="850" w:hanging="850"/>
    </w:pPr>
  </w:style>
  <w:style w:type="paragraph" w:customStyle="1" w:styleId="ManualNumPar2">
    <w:name w:val="Manual NumPar 2"/>
    <w:basedOn w:val="Normlny"/>
    <w:next w:val="Text1"/>
    <w:pPr>
      <w:ind w:left="850" w:hanging="850"/>
    </w:pPr>
  </w:style>
  <w:style w:type="paragraph" w:customStyle="1" w:styleId="ManualNumPar3">
    <w:name w:val="Manual NumPar 3"/>
    <w:basedOn w:val="Normlny"/>
    <w:next w:val="Text1"/>
    <w:pPr>
      <w:ind w:left="850" w:hanging="850"/>
    </w:pPr>
  </w:style>
  <w:style w:type="paragraph" w:customStyle="1" w:styleId="ManualNumPar4">
    <w:name w:val="Manual NumPar 4"/>
    <w:basedOn w:val="Normlny"/>
    <w:next w:val="Text1"/>
    <w:pPr>
      <w:ind w:left="850" w:hanging="850"/>
    </w:pPr>
  </w:style>
  <w:style w:type="paragraph" w:customStyle="1" w:styleId="ManualNumPar5">
    <w:name w:val="Manual NumPar 5"/>
    <w:basedOn w:val="Normlny"/>
    <w:next w:val="Text2"/>
    <w:pPr>
      <w:ind w:left="1417" w:hanging="1417"/>
    </w:pPr>
  </w:style>
  <w:style w:type="paragraph" w:customStyle="1" w:styleId="ManualNumPar6">
    <w:name w:val="Manual NumPar 6"/>
    <w:basedOn w:val="Normlny"/>
    <w:next w:val="Text2"/>
    <w:pPr>
      <w:ind w:left="1417" w:hanging="1417"/>
    </w:pPr>
  </w:style>
  <w:style w:type="paragraph" w:customStyle="1" w:styleId="ManualNumPar7">
    <w:name w:val="Manual NumPar 7"/>
    <w:basedOn w:val="Normlny"/>
    <w:next w:val="Text2"/>
    <w:pPr>
      <w:ind w:left="1417" w:hanging="1417"/>
    </w:pPr>
  </w:style>
  <w:style w:type="paragraph" w:customStyle="1" w:styleId="QuotedNumPar">
    <w:name w:val="Quoted NumPar"/>
    <w:basedOn w:val="Normlny"/>
    <w:pPr>
      <w:ind w:left="1417" w:hanging="567"/>
    </w:pPr>
  </w:style>
  <w:style w:type="paragraph" w:customStyle="1" w:styleId="ManualHeading1">
    <w:name w:val="Manual Heading 1"/>
    <w:basedOn w:val="Normlny"/>
    <w:next w:val="Text1"/>
    <w:pPr>
      <w:keepNext/>
      <w:tabs>
        <w:tab w:val="left" w:pos="850"/>
      </w:tabs>
      <w:spacing w:before="360"/>
      <w:ind w:left="850" w:hanging="850"/>
      <w:outlineLvl w:val="0"/>
    </w:pPr>
    <w:rPr>
      <w:b/>
      <w:smallCaps/>
    </w:rPr>
  </w:style>
  <w:style w:type="paragraph" w:customStyle="1" w:styleId="ManualHeading2">
    <w:name w:val="Manual Heading 2"/>
    <w:basedOn w:val="Normlny"/>
    <w:next w:val="Text1"/>
    <w:pPr>
      <w:keepNext/>
      <w:tabs>
        <w:tab w:val="left" w:pos="850"/>
      </w:tabs>
      <w:ind w:left="850" w:hanging="850"/>
      <w:outlineLvl w:val="1"/>
    </w:pPr>
    <w:rPr>
      <w:b/>
    </w:rPr>
  </w:style>
  <w:style w:type="paragraph" w:customStyle="1" w:styleId="ManualHeading3">
    <w:name w:val="Manual Heading 3"/>
    <w:basedOn w:val="Normlny"/>
    <w:next w:val="Text1"/>
    <w:pPr>
      <w:keepNext/>
      <w:tabs>
        <w:tab w:val="left" w:pos="850"/>
      </w:tabs>
      <w:ind w:left="850" w:hanging="850"/>
      <w:outlineLvl w:val="2"/>
    </w:pPr>
    <w:rPr>
      <w:i/>
    </w:rPr>
  </w:style>
  <w:style w:type="paragraph" w:customStyle="1" w:styleId="ManualHeading4">
    <w:name w:val="Manual Heading 4"/>
    <w:basedOn w:val="Normlny"/>
    <w:next w:val="Text1"/>
    <w:pPr>
      <w:keepNext/>
      <w:tabs>
        <w:tab w:val="left" w:pos="850"/>
      </w:tabs>
      <w:ind w:left="850" w:hanging="850"/>
      <w:outlineLvl w:val="3"/>
    </w:pPr>
  </w:style>
  <w:style w:type="paragraph" w:customStyle="1" w:styleId="ManualHeading5">
    <w:name w:val="Manual Heading 5"/>
    <w:basedOn w:val="Normlny"/>
    <w:next w:val="Text2"/>
    <w:pPr>
      <w:keepNext/>
      <w:tabs>
        <w:tab w:val="left" w:pos="1417"/>
      </w:tabs>
      <w:ind w:left="1417" w:hanging="1417"/>
      <w:outlineLvl w:val="4"/>
    </w:pPr>
  </w:style>
  <w:style w:type="paragraph" w:customStyle="1" w:styleId="ManualHeading6">
    <w:name w:val="Manual Heading 6"/>
    <w:basedOn w:val="Normlny"/>
    <w:next w:val="Text2"/>
    <w:pPr>
      <w:keepNext/>
      <w:tabs>
        <w:tab w:val="left" w:pos="1417"/>
      </w:tabs>
      <w:ind w:left="1417" w:hanging="1417"/>
      <w:outlineLvl w:val="5"/>
    </w:pPr>
  </w:style>
  <w:style w:type="paragraph" w:customStyle="1" w:styleId="ManualHeading7">
    <w:name w:val="Manual Heading 7"/>
    <w:basedOn w:val="Normlny"/>
    <w:next w:val="Text2"/>
    <w:pPr>
      <w:keepNext/>
      <w:tabs>
        <w:tab w:val="left" w:pos="1417"/>
      </w:tabs>
      <w:ind w:left="1417" w:hanging="1417"/>
      <w:outlineLvl w:val="6"/>
    </w:pPr>
  </w:style>
  <w:style w:type="paragraph" w:customStyle="1" w:styleId="ChapterTitle">
    <w:name w:val="ChapterTitle"/>
    <w:basedOn w:val="Normlny"/>
    <w:next w:val="Normlny"/>
    <w:pPr>
      <w:keepNext/>
      <w:spacing w:after="360"/>
      <w:jc w:val="center"/>
    </w:pPr>
    <w:rPr>
      <w:b/>
      <w:sz w:val="32"/>
    </w:rPr>
  </w:style>
  <w:style w:type="paragraph" w:customStyle="1" w:styleId="PartTitle">
    <w:name w:val="PartTitle"/>
    <w:basedOn w:val="Normlny"/>
    <w:next w:val="ChapterTitle"/>
    <w:pPr>
      <w:keepNext/>
      <w:pageBreakBefore/>
      <w:spacing w:after="360"/>
      <w:jc w:val="center"/>
    </w:pPr>
    <w:rPr>
      <w:b/>
      <w:sz w:val="36"/>
    </w:rPr>
  </w:style>
  <w:style w:type="paragraph" w:customStyle="1" w:styleId="SectionTitle">
    <w:name w:val="SectionTitle"/>
    <w:basedOn w:val="Normlny"/>
    <w:next w:val="Nadpis1"/>
    <w:pPr>
      <w:keepNext/>
      <w:spacing w:after="360"/>
      <w:jc w:val="center"/>
    </w:pPr>
    <w:rPr>
      <w:b/>
      <w:smallCaps/>
      <w:sz w:val="28"/>
    </w:rPr>
  </w:style>
  <w:style w:type="paragraph" w:customStyle="1" w:styleId="TableTitle">
    <w:name w:val="Table Title"/>
    <w:basedOn w:val="Normlny"/>
    <w:next w:val="Normlny"/>
    <w:pPr>
      <w:jc w:val="center"/>
    </w:pPr>
    <w:rPr>
      <w:b/>
    </w:rPr>
  </w:style>
  <w:style w:type="character" w:customStyle="1" w:styleId="Marker">
    <w:name w:val="Marker"/>
    <w:basedOn w:val="Predvolenpsmoodseku"/>
    <w:rPr>
      <w:color w:val="0000FF"/>
      <w:shd w:val="clear" w:color="auto" w:fill="auto"/>
    </w:rPr>
  </w:style>
  <w:style w:type="character" w:customStyle="1" w:styleId="Marker1">
    <w:name w:val="Marker1"/>
    <w:basedOn w:val="Predvolenpsmoodseku"/>
    <w:rPr>
      <w:color w:val="008000"/>
      <w:shd w:val="clear" w:color="auto" w:fill="auto"/>
    </w:rPr>
  </w:style>
  <w:style w:type="character" w:customStyle="1" w:styleId="Marker2">
    <w:name w:val="Marker2"/>
    <w:basedOn w:val="Predvolenpsmoodseku"/>
    <w:rPr>
      <w:color w:val="FF0000"/>
      <w:shd w:val="clear" w:color="auto" w:fill="auto"/>
    </w:rPr>
  </w:style>
  <w:style w:type="paragraph" w:customStyle="1" w:styleId="Point0number">
    <w:name w:val="Point 0 (number)"/>
    <w:basedOn w:val="Normlny"/>
    <w:pPr>
      <w:numPr>
        <w:numId w:val="30"/>
      </w:numPr>
    </w:pPr>
  </w:style>
  <w:style w:type="paragraph" w:customStyle="1" w:styleId="Point1number">
    <w:name w:val="Point 1 (number)"/>
    <w:basedOn w:val="Normlny"/>
    <w:pPr>
      <w:numPr>
        <w:ilvl w:val="2"/>
        <w:numId w:val="30"/>
      </w:numPr>
    </w:pPr>
  </w:style>
  <w:style w:type="paragraph" w:customStyle="1" w:styleId="Point2number">
    <w:name w:val="Point 2 (number)"/>
    <w:basedOn w:val="Normlny"/>
    <w:pPr>
      <w:numPr>
        <w:ilvl w:val="4"/>
        <w:numId w:val="30"/>
      </w:numPr>
    </w:pPr>
  </w:style>
  <w:style w:type="paragraph" w:customStyle="1" w:styleId="Point3number">
    <w:name w:val="Point 3 (number)"/>
    <w:basedOn w:val="Normlny"/>
    <w:pPr>
      <w:numPr>
        <w:ilvl w:val="6"/>
        <w:numId w:val="30"/>
      </w:numPr>
    </w:pPr>
  </w:style>
  <w:style w:type="paragraph" w:customStyle="1" w:styleId="Point0letter">
    <w:name w:val="Point 0 (letter)"/>
    <w:basedOn w:val="Normlny"/>
    <w:pPr>
      <w:numPr>
        <w:ilvl w:val="1"/>
        <w:numId w:val="30"/>
      </w:numPr>
    </w:pPr>
  </w:style>
  <w:style w:type="paragraph" w:customStyle="1" w:styleId="Point1letter">
    <w:name w:val="Point 1 (letter)"/>
    <w:basedOn w:val="Normlny"/>
    <w:pPr>
      <w:numPr>
        <w:ilvl w:val="3"/>
        <w:numId w:val="30"/>
      </w:numPr>
    </w:pPr>
  </w:style>
  <w:style w:type="paragraph" w:customStyle="1" w:styleId="Point2letter">
    <w:name w:val="Point 2 (letter)"/>
    <w:basedOn w:val="Normlny"/>
    <w:pPr>
      <w:numPr>
        <w:ilvl w:val="5"/>
        <w:numId w:val="30"/>
      </w:numPr>
    </w:pPr>
  </w:style>
  <w:style w:type="paragraph" w:customStyle="1" w:styleId="Point3letter">
    <w:name w:val="Point 3 (letter)"/>
    <w:basedOn w:val="Normlny"/>
    <w:pPr>
      <w:numPr>
        <w:ilvl w:val="7"/>
        <w:numId w:val="30"/>
      </w:numPr>
    </w:pPr>
  </w:style>
  <w:style w:type="paragraph" w:customStyle="1" w:styleId="Point4letter">
    <w:name w:val="Point 4 (letter)"/>
    <w:basedOn w:val="Normlny"/>
    <w:pPr>
      <w:numPr>
        <w:ilvl w:val="8"/>
        <w:numId w:val="30"/>
      </w:numPr>
    </w:pPr>
  </w:style>
  <w:style w:type="paragraph" w:customStyle="1" w:styleId="Bullet0">
    <w:name w:val="Bullet 0"/>
    <w:basedOn w:val="Normlny"/>
    <w:pPr>
      <w:numPr>
        <w:numId w:val="31"/>
      </w:numPr>
    </w:pPr>
  </w:style>
  <w:style w:type="paragraph" w:customStyle="1" w:styleId="Bullet1">
    <w:name w:val="Bullet 1"/>
    <w:basedOn w:val="Normlny"/>
    <w:pPr>
      <w:numPr>
        <w:numId w:val="32"/>
      </w:numPr>
    </w:pPr>
  </w:style>
  <w:style w:type="paragraph" w:customStyle="1" w:styleId="Bullet2">
    <w:name w:val="Bullet 2"/>
    <w:basedOn w:val="Normlny"/>
    <w:pPr>
      <w:numPr>
        <w:numId w:val="33"/>
      </w:numPr>
    </w:pPr>
  </w:style>
  <w:style w:type="paragraph" w:customStyle="1" w:styleId="Bullet3">
    <w:name w:val="Bullet 3"/>
    <w:basedOn w:val="Normlny"/>
    <w:pPr>
      <w:numPr>
        <w:numId w:val="34"/>
      </w:numPr>
    </w:pPr>
  </w:style>
  <w:style w:type="paragraph" w:customStyle="1" w:styleId="Bullet4">
    <w:name w:val="Bullet 4"/>
    <w:basedOn w:val="Normlny"/>
    <w:pPr>
      <w:numPr>
        <w:numId w:val="35"/>
      </w:numPr>
    </w:pPr>
  </w:style>
  <w:style w:type="paragraph" w:customStyle="1" w:styleId="Langue">
    <w:name w:val="Langue"/>
    <w:basedOn w:val="Normlny"/>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lny"/>
    <w:next w:val="Emission"/>
    <w:pPr>
      <w:spacing w:before="0" w:after="0"/>
      <w:jc w:val="left"/>
    </w:pPr>
    <w:rPr>
      <w:rFonts w:ascii="Arial" w:hAnsi="Arial" w:cs="Arial"/>
    </w:rPr>
  </w:style>
  <w:style w:type="paragraph" w:customStyle="1" w:styleId="Emission">
    <w:name w:val="Emission"/>
    <w:basedOn w:val="Normlny"/>
    <w:next w:val="Rfrenceinstitutionnelle"/>
    <w:pPr>
      <w:spacing w:before="0" w:after="0"/>
      <w:ind w:left="5103"/>
      <w:jc w:val="left"/>
    </w:pPr>
  </w:style>
  <w:style w:type="paragraph" w:customStyle="1" w:styleId="Rfrenceinstitutionnelle">
    <w:name w:val="Référence institutionnelle"/>
    <w:basedOn w:val="Normlny"/>
    <w:next w:val="Confidentialit"/>
    <w:pPr>
      <w:spacing w:before="0" w:after="240"/>
      <w:ind w:left="5103"/>
      <w:jc w:val="left"/>
    </w:pPr>
  </w:style>
  <w:style w:type="paragraph" w:customStyle="1" w:styleId="Pagedecouverture">
    <w:name w:val="Page de couverture"/>
    <w:basedOn w:val="Normlny"/>
    <w:next w:val="Normlny"/>
    <w:pPr>
      <w:spacing w:before="0" w:after="0"/>
    </w:pPr>
  </w:style>
  <w:style w:type="paragraph" w:customStyle="1" w:styleId="Declassification">
    <w:name w:val="Declassification"/>
    <w:basedOn w:val="Normlny"/>
    <w:next w:val="Normlny"/>
    <w:pPr>
      <w:spacing w:before="0" w:after="0"/>
    </w:pPr>
  </w:style>
  <w:style w:type="paragraph" w:customStyle="1" w:styleId="Disclaimer">
    <w:name w:val="Disclaimer"/>
    <w:basedOn w:val="Normlny"/>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lny"/>
    <w:pPr>
      <w:spacing w:before="0" w:after="0" w:line="276" w:lineRule="auto"/>
      <w:ind w:left="5103"/>
      <w:jc w:val="left"/>
    </w:pPr>
    <w:rPr>
      <w:sz w:val="28"/>
    </w:rPr>
  </w:style>
  <w:style w:type="paragraph" w:customStyle="1" w:styleId="DateMarking">
    <w:name w:val="DateMarking"/>
    <w:basedOn w:val="Normlny"/>
    <w:pPr>
      <w:spacing w:before="0" w:after="0" w:line="276" w:lineRule="auto"/>
      <w:ind w:left="5103"/>
      <w:jc w:val="left"/>
    </w:pPr>
    <w:rPr>
      <w:i/>
      <w:sz w:val="28"/>
    </w:rPr>
  </w:style>
  <w:style w:type="paragraph" w:customStyle="1" w:styleId="ReleasableTo">
    <w:name w:val="ReleasableTo"/>
    <w:basedOn w:val="Normlny"/>
    <w:pPr>
      <w:spacing w:before="0" w:after="0" w:line="276" w:lineRule="auto"/>
      <w:ind w:left="5103"/>
      <w:jc w:val="left"/>
    </w:pPr>
    <w:rPr>
      <w:i/>
      <w:sz w:val="28"/>
    </w:rPr>
  </w:style>
  <w:style w:type="paragraph" w:customStyle="1" w:styleId="Annexetitreexpos">
    <w:name w:val="Annexe titre (exposé)"/>
    <w:basedOn w:val="Normlny"/>
    <w:next w:val="Normlny"/>
    <w:pPr>
      <w:jc w:val="center"/>
    </w:pPr>
    <w:rPr>
      <w:b/>
      <w:u w:val="single"/>
    </w:rPr>
  </w:style>
  <w:style w:type="paragraph" w:customStyle="1" w:styleId="Annexetitre">
    <w:name w:val="Annexe titre"/>
    <w:basedOn w:val="Normlny"/>
    <w:next w:val="Normlny"/>
    <w:pPr>
      <w:jc w:val="center"/>
    </w:pPr>
    <w:rPr>
      <w:b/>
      <w:u w:val="single"/>
    </w:rPr>
  </w:style>
  <w:style w:type="paragraph" w:customStyle="1" w:styleId="Annexetitrefichefinancire">
    <w:name w:val="Annexe titre (fiche financière)"/>
    <w:basedOn w:val="Normlny"/>
    <w:next w:val="Normlny"/>
    <w:pPr>
      <w:jc w:val="center"/>
    </w:pPr>
    <w:rPr>
      <w:b/>
      <w:u w:val="single"/>
    </w:rPr>
  </w:style>
  <w:style w:type="paragraph" w:customStyle="1" w:styleId="Applicationdirecte">
    <w:name w:val="Application directe"/>
    <w:basedOn w:val="Normlny"/>
    <w:next w:val="Fait"/>
    <w:pPr>
      <w:spacing w:before="480"/>
    </w:pPr>
  </w:style>
  <w:style w:type="paragraph" w:customStyle="1" w:styleId="Avertissementtitre">
    <w:name w:val="Avertissement titre"/>
    <w:basedOn w:val="Normlny"/>
    <w:next w:val="Normlny"/>
    <w:pPr>
      <w:keepNext/>
      <w:spacing w:before="480"/>
    </w:pPr>
    <w:rPr>
      <w:u w:val="single"/>
    </w:rPr>
  </w:style>
  <w:style w:type="paragraph" w:customStyle="1" w:styleId="Confidence">
    <w:name w:val="Confidence"/>
    <w:basedOn w:val="Normlny"/>
    <w:next w:val="Normlny"/>
    <w:pPr>
      <w:spacing w:before="360"/>
      <w:jc w:val="center"/>
    </w:pPr>
  </w:style>
  <w:style w:type="paragraph" w:customStyle="1" w:styleId="Confidentialit">
    <w:name w:val="Confidentialité"/>
    <w:basedOn w:val="Normlny"/>
    <w:next w:val="TypedudocumentPagedecouverture"/>
    <w:pPr>
      <w:spacing w:before="240" w:after="240"/>
      <w:ind w:left="5103"/>
      <w:jc w:val="left"/>
    </w:pPr>
    <w:rPr>
      <w:i/>
      <w:sz w:val="32"/>
    </w:rPr>
  </w:style>
  <w:style w:type="paragraph" w:customStyle="1" w:styleId="Considrant">
    <w:name w:val="Considérant"/>
    <w:basedOn w:val="Normlny"/>
    <w:pPr>
      <w:numPr>
        <w:numId w:val="36"/>
      </w:numPr>
    </w:pPr>
  </w:style>
  <w:style w:type="paragraph" w:customStyle="1" w:styleId="Corrigendum">
    <w:name w:val="Corrigendum"/>
    <w:basedOn w:val="Normlny"/>
    <w:next w:val="Normlny"/>
    <w:pPr>
      <w:spacing w:before="0" w:after="240"/>
      <w:jc w:val="left"/>
    </w:pPr>
  </w:style>
  <w:style w:type="paragraph" w:customStyle="1" w:styleId="Datedadoption">
    <w:name w:val="Date d'adoption"/>
    <w:basedOn w:val="Normlny"/>
    <w:next w:val="Titreobjet"/>
    <w:pPr>
      <w:spacing w:before="360" w:after="0"/>
      <w:jc w:val="center"/>
    </w:pPr>
    <w:rPr>
      <w:b/>
    </w:rPr>
  </w:style>
  <w:style w:type="paragraph" w:customStyle="1" w:styleId="Exposdesmotifstitre">
    <w:name w:val="Exposé des motifs titre"/>
    <w:basedOn w:val="Normlny"/>
    <w:next w:val="Normlny"/>
    <w:pPr>
      <w:jc w:val="center"/>
    </w:pPr>
    <w:rPr>
      <w:b/>
      <w:u w:val="single"/>
    </w:rPr>
  </w:style>
  <w:style w:type="paragraph" w:customStyle="1" w:styleId="Fait">
    <w:name w:val="Fait à"/>
    <w:basedOn w:val="Normlny"/>
    <w:next w:val="Institutionquisigne"/>
    <w:pPr>
      <w:keepNext/>
      <w:spacing w:after="0"/>
    </w:pPr>
  </w:style>
  <w:style w:type="paragraph" w:customStyle="1" w:styleId="Formuledadoption">
    <w:name w:val="Formule d'adoption"/>
    <w:basedOn w:val="Normlny"/>
    <w:next w:val="Titrearticle"/>
    <w:pPr>
      <w:keepNext/>
    </w:pPr>
  </w:style>
  <w:style w:type="paragraph" w:customStyle="1" w:styleId="Institutionquiagit">
    <w:name w:val="Institution qui agit"/>
    <w:basedOn w:val="Normlny"/>
    <w:next w:val="Normlny"/>
    <w:pPr>
      <w:keepNext/>
      <w:spacing w:before="600"/>
    </w:pPr>
  </w:style>
  <w:style w:type="paragraph" w:customStyle="1" w:styleId="Institutionquisigne">
    <w:name w:val="Institution qui signe"/>
    <w:basedOn w:val="Normlny"/>
    <w:next w:val="Personnequisigne"/>
    <w:pPr>
      <w:keepNext/>
      <w:tabs>
        <w:tab w:val="left" w:pos="4252"/>
      </w:tabs>
      <w:spacing w:before="720" w:after="0"/>
    </w:pPr>
    <w:rPr>
      <w:i/>
    </w:rPr>
  </w:style>
  <w:style w:type="paragraph" w:customStyle="1" w:styleId="ManualConsidrant">
    <w:name w:val="Manual Considérant"/>
    <w:basedOn w:val="Normlny"/>
    <w:pPr>
      <w:ind w:left="709" w:hanging="709"/>
    </w:pPr>
  </w:style>
  <w:style w:type="paragraph" w:customStyle="1" w:styleId="Personnequisigne">
    <w:name w:val="Personne qui signe"/>
    <w:basedOn w:val="Normlny"/>
    <w:next w:val="Institutionquisigne"/>
    <w:pPr>
      <w:tabs>
        <w:tab w:val="left" w:pos="4252"/>
      </w:tabs>
      <w:spacing w:before="0" w:after="0"/>
      <w:jc w:val="left"/>
    </w:pPr>
    <w:rPr>
      <w:i/>
    </w:rPr>
  </w:style>
  <w:style w:type="paragraph" w:customStyle="1" w:styleId="Rfrenceinterinstitutionnelle">
    <w:name w:val="Référence interinstitutionnelle"/>
    <w:basedOn w:val="Normlny"/>
    <w:next w:val="Statut"/>
    <w:pPr>
      <w:spacing w:before="0" w:after="0"/>
      <w:ind w:left="5103"/>
      <w:jc w:val="left"/>
    </w:pPr>
  </w:style>
  <w:style w:type="paragraph" w:customStyle="1" w:styleId="Rfrenceinterne">
    <w:name w:val="Référence interne"/>
    <w:basedOn w:val="Normlny"/>
    <w:next w:val="Rfrenceinterinstitutionnelle"/>
    <w:pPr>
      <w:spacing w:before="0" w:after="0"/>
      <w:ind w:left="5103"/>
      <w:jc w:val="left"/>
    </w:pPr>
  </w:style>
  <w:style w:type="paragraph" w:customStyle="1" w:styleId="Statut">
    <w:name w:val="Statut"/>
    <w:basedOn w:val="Normlny"/>
    <w:next w:val="Typedudocument"/>
    <w:pPr>
      <w:spacing w:before="360" w:after="0"/>
      <w:jc w:val="center"/>
    </w:pPr>
  </w:style>
  <w:style w:type="paragraph" w:customStyle="1" w:styleId="Titrearticle">
    <w:name w:val="Titre article"/>
    <w:basedOn w:val="Normlny"/>
    <w:next w:val="Normlny"/>
    <w:pPr>
      <w:keepNext/>
      <w:spacing w:before="360"/>
      <w:jc w:val="center"/>
    </w:pPr>
    <w:rPr>
      <w:i/>
    </w:rPr>
  </w:style>
  <w:style w:type="paragraph" w:customStyle="1" w:styleId="Titreobjet">
    <w:name w:val="Titre objet"/>
    <w:basedOn w:val="Normlny"/>
    <w:next w:val="IntrtEEE"/>
    <w:pPr>
      <w:spacing w:before="360" w:after="360"/>
      <w:jc w:val="center"/>
    </w:pPr>
    <w:rPr>
      <w:b/>
    </w:rPr>
  </w:style>
  <w:style w:type="paragraph" w:customStyle="1" w:styleId="Typedudocument">
    <w:name w:val="Type du document"/>
    <w:basedOn w:val="Normlny"/>
    <w:next w:val="Titreobjet"/>
    <w:pPr>
      <w:spacing w:before="360" w:after="0"/>
      <w:jc w:val="center"/>
    </w:pPr>
    <w:rPr>
      <w:b/>
    </w:rPr>
  </w:style>
  <w:style w:type="character" w:customStyle="1" w:styleId="Added">
    <w:name w:val="Added"/>
    <w:basedOn w:val="Predvolenpsmoodseku"/>
    <w:rPr>
      <w:b/>
      <w:u w:val="single"/>
      <w:shd w:val="clear" w:color="auto" w:fill="auto"/>
    </w:rPr>
  </w:style>
  <w:style w:type="character" w:customStyle="1" w:styleId="Deleted">
    <w:name w:val="Deleted"/>
    <w:basedOn w:val="Predvolenpsmoodseku"/>
    <w:rPr>
      <w:strike/>
      <w:dstrike w:val="0"/>
      <w:shd w:val="clear" w:color="auto" w:fill="auto"/>
    </w:rPr>
  </w:style>
  <w:style w:type="paragraph" w:customStyle="1" w:styleId="Address">
    <w:name w:val="Address"/>
    <w:basedOn w:val="Normlny"/>
    <w:next w:val="Normlny"/>
    <w:pPr>
      <w:keepLines/>
      <w:spacing w:line="360" w:lineRule="auto"/>
      <w:ind w:left="3402"/>
      <w:jc w:val="left"/>
    </w:pPr>
  </w:style>
  <w:style w:type="paragraph" w:customStyle="1" w:styleId="Objetexterne">
    <w:name w:val="Objet externe"/>
    <w:basedOn w:val="Normlny"/>
    <w:next w:val="Normlny"/>
    <w:rPr>
      <w:i/>
      <w:caps/>
    </w:rPr>
  </w:style>
  <w:style w:type="paragraph" w:customStyle="1" w:styleId="Supertitre">
    <w:name w:val="Supertitre"/>
    <w:basedOn w:val="Normlny"/>
    <w:next w:val="Normlny"/>
    <w:pPr>
      <w:spacing w:before="0" w:after="600"/>
      <w:jc w:val="center"/>
    </w:pPr>
    <w:rPr>
      <w:b/>
    </w:rPr>
  </w:style>
  <w:style w:type="paragraph" w:customStyle="1" w:styleId="Languesfaisantfoi">
    <w:name w:val="Langues faisant foi"/>
    <w:basedOn w:val="Normlny"/>
    <w:next w:val="Normlny"/>
    <w:pPr>
      <w:spacing w:before="360" w:after="0"/>
      <w:jc w:val="center"/>
    </w:pPr>
  </w:style>
  <w:style w:type="paragraph" w:customStyle="1" w:styleId="Rfrencecroise">
    <w:name w:val="Référence croisée"/>
    <w:basedOn w:val="Normlny"/>
    <w:pPr>
      <w:spacing w:before="0" w:after="0"/>
      <w:jc w:val="center"/>
    </w:pPr>
  </w:style>
  <w:style w:type="paragraph" w:customStyle="1" w:styleId="Fichefinanciretitre">
    <w:name w:val="Fiche financière titre"/>
    <w:basedOn w:val="Normlny"/>
    <w:next w:val="Normlny"/>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lny"/>
    <w:next w:val="Confidentialit"/>
    <w:pPr>
      <w:spacing w:before="0" w:after="240"/>
      <w:ind w:left="5103"/>
      <w:jc w:val="left"/>
    </w:pPr>
  </w:style>
  <w:style w:type="paragraph" w:customStyle="1" w:styleId="IntrtEEE">
    <w:name w:val="Intérêt EEE"/>
    <w:basedOn w:val="Languesfaisantfoi"/>
    <w:next w:val="Normlny"/>
    <w:pPr>
      <w:spacing w:after="240"/>
    </w:pPr>
  </w:style>
  <w:style w:type="paragraph" w:customStyle="1" w:styleId="Accompagnant">
    <w:name w:val="Accompagnant"/>
    <w:basedOn w:val="Normlny"/>
    <w:next w:val="Typeacteprincipal"/>
    <w:pPr>
      <w:spacing w:before="0" w:after="240"/>
      <w:jc w:val="center"/>
    </w:pPr>
    <w:rPr>
      <w:b/>
      <w:i/>
    </w:rPr>
  </w:style>
  <w:style w:type="paragraph" w:customStyle="1" w:styleId="Typeacteprincipal">
    <w:name w:val="Type acte principal"/>
    <w:basedOn w:val="Normlny"/>
    <w:next w:val="Objetacteprincipal"/>
    <w:pPr>
      <w:spacing w:before="0" w:after="240"/>
      <w:jc w:val="center"/>
    </w:pPr>
    <w:rPr>
      <w:b/>
    </w:rPr>
  </w:style>
  <w:style w:type="paragraph" w:customStyle="1" w:styleId="Objetacteprincipal">
    <w:name w:val="Objet acte principal"/>
    <w:basedOn w:val="Normlny"/>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lny"/>
    <w:next w:val="Normlny"/>
    <w:pPr>
      <w:spacing w:before="360" w:after="0"/>
      <w:jc w:val="center"/>
    </w:pPr>
  </w:style>
  <w:style w:type="paragraph" w:styleId="Hlavika">
    <w:name w:val="header"/>
    <w:basedOn w:val="Normlny"/>
    <w:link w:val="HlavikaChar"/>
    <w:uiPriority w:val="99"/>
    <w:unhideWhenUsed/>
    <w:rsid w:val="008434AF"/>
    <w:pPr>
      <w:tabs>
        <w:tab w:val="center" w:pos="4535"/>
        <w:tab w:val="right" w:pos="9071"/>
      </w:tabs>
      <w:spacing w:before="0"/>
    </w:pPr>
  </w:style>
  <w:style w:type="paragraph" w:customStyle="1" w:styleId="HeaderLandscape">
    <w:name w:val="HeaderLandscape"/>
    <w:basedOn w:val="Normlny"/>
    <w:rsid w:val="008434AF"/>
    <w:pPr>
      <w:tabs>
        <w:tab w:val="center" w:pos="7285"/>
        <w:tab w:val="right" w:pos="14003"/>
      </w:tabs>
      <w:spacing w:before="0"/>
    </w:pPr>
  </w:style>
  <w:style w:type="paragraph" w:styleId="Pta">
    <w:name w:val="footer"/>
    <w:basedOn w:val="Normlny"/>
    <w:link w:val="PtaChar"/>
    <w:uiPriority w:val="99"/>
    <w:unhideWhenUsed/>
    <w:rsid w:val="008434AF"/>
    <w:pPr>
      <w:tabs>
        <w:tab w:val="center" w:pos="4535"/>
        <w:tab w:val="right" w:pos="9071"/>
        <w:tab w:val="right" w:pos="9921"/>
      </w:tabs>
      <w:spacing w:before="360" w:after="0"/>
      <w:ind w:left="-850" w:right="-850"/>
      <w:jc w:val="left"/>
    </w:pPr>
  </w:style>
  <w:style w:type="paragraph" w:customStyle="1" w:styleId="FooterLandscape">
    <w:name w:val="FooterLandscape"/>
    <w:basedOn w:val="Normlny"/>
    <w:rsid w:val="008434AF"/>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94513">
      <w:bodyDiv w:val="1"/>
      <w:marLeft w:val="0"/>
      <w:marRight w:val="0"/>
      <w:marTop w:val="0"/>
      <w:marBottom w:val="0"/>
      <w:divBdr>
        <w:top w:val="none" w:sz="0" w:space="0" w:color="auto"/>
        <w:left w:val="none" w:sz="0" w:space="0" w:color="auto"/>
        <w:bottom w:val="none" w:sz="0" w:space="0" w:color="auto"/>
        <w:right w:val="none" w:sz="0" w:space="0" w:color="auto"/>
      </w:divBdr>
      <w:divsChild>
        <w:div w:id="47657470">
          <w:marLeft w:val="0"/>
          <w:marRight w:val="0"/>
          <w:marTop w:val="0"/>
          <w:marBottom w:val="0"/>
          <w:divBdr>
            <w:top w:val="none" w:sz="0" w:space="0" w:color="auto"/>
            <w:left w:val="none" w:sz="0" w:space="0" w:color="auto"/>
            <w:bottom w:val="none" w:sz="0" w:space="0" w:color="auto"/>
            <w:right w:val="none" w:sz="0" w:space="0" w:color="auto"/>
          </w:divBdr>
        </w:div>
      </w:divsChild>
    </w:div>
    <w:div w:id="324014887">
      <w:bodyDiv w:val="1"/>
      <w:marLeft w:val="0"/>
      <w:marRight w:val="0"/>
      <w:marTop w:val="0"/>
      <w:marBottom w:val="0"/>
      <w:divBdr>
        <w:top w:val="none" w:sz="0" w:space="0" w:color="auto"/>
        <w:left w:val="none" w:sz="0" w:space="0" w:color="auto"/>
        <w:bottom w:val="none" w:sz="0" w:space="0" w:color="auto"/>
        <w:right w:val="none" w:sz="0" w:space="0" w:color="auto"/>
      </w:divBdr>
    </w:div>
    <w:div w:id="521017053">
      <w:bodyDiv w:val="1"/>
      <w:marLeft w:val="0"/>
      <w:marRight w:val="0"/>
      <w:marTop w:val="0"/>
      <w:marBottom w:val="0"/>
      <w:divBdr>
        <w:top w:val="none" w:sz="0" w:space="0" w:color="auto"/>
        <w:left w:val="none" w:sz="0" w:space="0" w:color="auto"/>
        <w:bottom w:val="none" w:sz="0" w:space="0" w:color="auto"/>
        <w:right w:val="none" w:sz="0" w:space="0" w:color="auto"/>
      </w:divBdr>
    </w:div>
    <w:div w:id="946280079">
      <w:bodyDiv w:val="1"/>
      <w:marLeft w:val="0"/>
      <w:marRight w:val="0"/>
      <w:marTop w:val="0"/>
      <w:marBottom w:val="0"/>
      <w:divBdr>
        <w:top w:val="none" w:sz="0" w:space="0" w:color="auto"/>
        <w:left w:val="none" w:sz="0" w:space="0" w:color="auto"/>
        <w:bottom w:val="none" w:sz="0" w:space="0" w:color="auto"/>
        <w:right w:val="none" w:sz="0" w:space="0" w:color="auto"/>
      </w:divBdr>
    </w:div>
    <w:div w:id="1028676973">
      <w:bodyDiv w:val="1"/>
      <w:marLeft w:val="0"/>
      <w:marRight w:val="0"/>
      <w:marTop w:val="0"/>
      <w:marBottom w:val="0"/>
      <w:divBdr>
        <w:top w:val="none" w:sz="0" w:space="0" w:color="auto"/>
        <w:left w:val="none" w:sz="0" w:space="0" w:color="auto"/>
        <w:bottom w:val="none" w:sz="0" w:space="0" w:color="auto"/>
        <w:right w:val="none" w:sz="0" w:space="0" w:color="auto"/>
      </w:divBdr>
    </w:div>
    <w:div w:id="1255939007">
      <w:bodyDiv w:val="1"/>
      <w:marLeft w:val="0"/>
      <w:marRight w:val="0"/>
      <w:marTop w:val="0"/>
      <w:marBottom w:val="0"/>
      <w:divBdr>
        <w:top w:val="none" w:sz="0" w:space="0" w:color="auto"/>
        <w:left w:val="none" w:sz="0" w:space="0" w:color="auto"/>
        <w:bottom w:val="none" w:sz="0" w:space="0" w:color="auto"/>
        <w:right w:val="none" w:sz="0" w:space="0" w:color="auto"/>
      </w:divBdr>
    </w:div>
    <w:div w:id="1311061037">
      <w:bodyDiv w:val="1"/>
      <w:marLeft w:val="0"/>
      <w:marRight w:val="0"/>
      <w:marTop w:val="0"/>
      <w:marBottom w:val="0"/>
      <w:divBdr>
        <w:top w:val="none" w:sz="0" w:space="0" w:color="auto"/>
        <w:left w:val="none" w:sz="0" w:space="0" w:color="auto"/>
        <w:bottom w:val="none" w:sz="0" w:space="0" w:color="auto"/>
        <w:right w:val="none" w:sz="0" w:space="0" w:color="auto"/>
      </w:divBdr>
    </w:div>
    <w:div w:id="1350836857">
      <w:bodyDiv w:val="1"/>
      <w:marLeft w:val="0"/>
      <w:marRight w:val="0"/>
      <w:marTop w:val="0"/>
      <w:marBottom w:val="0"/>
      <w:divBdr>
        <w:top w:val="none" w:sz="0" w:space="0" w:color="auto"/>
        <w:left w:val="none" w:sz="0" w:space="0" w:color="auto"/>
        <w:bottom w:val="none" w:sz="0" w:space="0" w:color="auto"/>
        <w:right w:val="none" w:sz="0" w:space="0" w:color="auto"/>
      </w:divBdr>
      <w:divsChild>
        <w:div w:id="215434060">
          <w:marLeft w:val="0"/>
          <w:marRight w:val="0"/>
          <w:marTop w:val="0"/>
          <w:marBottom w:val="0"/>
          <w:divBdr>
            <w:top w:val="none" w:sz="0" w:space="0" w:color="auto"/>
            <w:left w:val="none" w:sz="0" w:space="0" w:color="auto"/>
            <w:bottom w:val="none" w:sz="0" w:space="0" w:color="auto"/>
            <w:right w:val="none" w:sz="0" w:space="0" w:color="auto"/>
          </w:divBdr>
        </w:div>
      </w:divsChild>
    </w:div>
    <w:div w:id="1514344084">
      <w:bodyDiv w:val="1"/>
      <w:marLeft w:val="0"/>
      <w:marRight w:val="0"/>
      <w:marTop w:val="0"/>
      <w:marBottom w:val="0"/>
      <w:divBdr>
        <w:top w:val="none" w:sz="0" w:space="0" w:color="auto"/>
        <w:left w:val="none" w:sz="0" w:space="0" w:color="auto"/>
        <w:bottom w:val="none" w:sz="0" w:space="0" w:color="auto"/>
        <w:right w:val="none" w:sz="0" w:space="0" w:color="auto"/>
      </w:divBdr>
    </w:div>
    <w:div w:id="1659266261">
      <w:bodyDiv w:val="1"/>
      <w:marLeft w:val="0"/>
      <w:marRight w:val="0"/>
      <w:marTop w:val="0"/>
      <w:marBottom w:val="0"/>
      <w:divBdr>
        <w:top w:val="none" w:sz="0" w:space="0" w:color="auto"/>
        <w:left w:val="none" w:sz="0" w:space="0" w:color="auto"/>
        <w:bottom w:val="none" w:sz="0" w:space="0" w:color="auto"/>
        <w:right w:val="none" w:sz="0" w:space="0" w:color="auto"/>
      </w:divBdr>
    </w:div>
    <w:div w:id="1965305258">
      <w:bodyDiv w:val="1"/>
      <w:marLeft w:val="0"/>
      <w:marRight w:val="0"/>
      <w:marTop w:val="0"/>
      <w:marBottom w:val="0"/>
      <w:divBdr>
        <w:top w:val="none" w:sz="0" w:space="0" w:color="auto"/>
        <w:left w:val="none" w:sz="0" w:space="0" w:color="auto"/>
        <w:bottom w:val="none" w:sz="0" w:space="0" w:color="auto"/>
        <w:right w:val="none" w:sz="0" w:space="0" w:color="auto"/>
      </w:divBdr>
    </w:div>
    <w:div w:id="206911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data.europa.eu/eli/dir/2004/109/oj" TargetMode="External"/><Relationship Id="rId2" Type="http://schemas.openxmlformats.org/officeDocument/2006/relationships/hyperlink" Target="http://data.europa.eu/eli/dir/2022/2464/oj" TargetMode="External"/><Relationship Id="rId1" Type="http://schemas.openxmlformats.org/officeDocument/2006/relationships/hyperlink" Target="https://ec.europa.eu/info/law/better-regulation/have-your-say/initiatives/13990-Administrativna-zataz-racionalizacia-poziadaviek-v-oblasti-vykazovania_s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7" ma:contentTypeDescription="Create a new document." ma:contentTypeScope="" ma:versionID="f73c37285628b2366a89f641e7689f71">
  <xsd: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d0c70d7dd3deae9a87ba71169aedc48e" ns2:_="" ns3:_="">
    <xsd:import namespace="9a9637e9-1c11-4ee9-91b8-f060e3608fb2"/>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7A273-EA73-454C-9DAA-DC2DF2A57282}">
  <ds:schemaRefs>
    <ds:schemaRef ds:uri="http://schemas.microsoft.com/sharepoint/v3/contenttype/forms"/>
  </ds:schemaRefs>
</ds:datastoreItem>
</file>

<file path=customXml/itemProps2.xml><?xml version="1.0" encoding="utf-8"?>
<ds:datastoreItem xmlns:ds="http://schemas.openxmlformats.org/officeDocument/2006/customXml" ds:itemID="{44AF1348-560B-47F8-B8B1-BFEBDD1CC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7BDEE-200C-44B5-AFCE-EBB038138D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BD1A37-2436-40B2-94D4-BEC4D550B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23</Pages>
  <Words>8374</Words>
  <Characters>47735</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55998</CharactersWithSpaces>
  <SharedDoc>false</SharedDoc>
  <HLinks>
    <vt:vector size="18" baseType="variant">
      <vt:variant>
        <vt:i4>4325405</vt:i4>
      </vt:variant>
      <vt:variant>
        <vt:i4>6</vt:i4>
      </vt:variant>
      <vt:variant>
        <vt:i4>0</vt:i4>
      </vt:variant>
      <vt:variant>
        <vt:i4>5</vt:i4>
      </vt:variant>
      <vt:variant>
        <vt:lpwstr>http://data.europa.eu/eli/dir/2004/109/oj</vt:lpwstr>
      </vt:variant>
      <vt:variant>
        <vt:lpwstr/>
      </vt:variant>
      <vt:variant>
        <vt:i4>6422639</vt:i4>
      </vt:variant>
      <vt:variant>
        <vt:i4>3</vt:i4>
      </vt:variant>
      <vt:variant>
        <vt:i4>0</vt:i4>
      </vt:variant>
      <vt:variant>
        <vt:i4>5</vt:i4>
      </vt:variant>
      <vt:variant>
        <vt:lpwstr>http://data.europa.eu/eli/dir/2022/2464/oj</vt:lpwstr>
      </vt:variant>
      <vt:variant>
        <vt:lpwstr/>
      </vt:variant>
      <vt:variant>
        <vt:i4>4653104</vt:i4>
      </vt:variant>
      <vt:variant>
        <vt:i4>0</vt:i4>
      </vt:variant>
      <vt:variant>
        <vt:i4>0</vt:i4>
      </vt:variant>
      <vt:variant>
        <vt:i4>5</vt:i4>
      </vt:variant>
      <vt:variant>
        <vt:lpwstr>https://ec.europa.eu/info/law/better-regulation/have-your-say/initiatives/13990-Administrative-burden-rationalisation-of-reporting-requirements_en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2025-04-08T11:18:00Z</dcterms:created>
  <dcterms:modified xsi:type="dcterms:W3CDTF">2025-04-08T11:18:00Z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9.1, Build 20240808</vt:lpwstr>
  </property>
  <property fmtid="{D5CDD505-2E9C-101B-9397-08002B2CF9AE}" pid="3" name="MSIP_Label_6bd9ddd1-4d20-43f6-abfa-fc3c07406f94_Enabled">
    <vt:lpwstr>true</vt:lpwstr>
  </property>
  <property fmtid="{D5CDD505-2E9C-101B-9397-08002B2CF9AE}" pid="4" name="MSIP_Label_6bd9ddd1-4d20-43f6-abfa-fc3c07406f94_SetDate">
    <vt:lpwstr>2025-02-21T15:51:21Z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03b77c0d-8107-46a8-bc38-8266399f79f7</vt:lpwstr>
  </property>
  <property fmtid="{D5CDD505-2E9C-101B-9397-08002B2CF9AE}" pid="9" name="MSIP_Label_6bd9ddd1-4d20-43f6-abfa-fc3c07406f94_ContentBits">
    <vt:lpwstr>0</vt:lpwstr>
  </property>
  <property fmtid="{D5CDD505-2E9C-101B-9397-08002B2CF9AE}" pid="10" name="ContentTypeId">
    <vt:lpwstr>0x0101007697B7BFF882854783B2AFEB81A9CCE9</vt:lpwstr>
  </property>
  <property fmtid="{D5CDD505-2E9C-101B-9397-08002B2CF9AE}" pid="11" name="Category">
    <vt:lpwstr>COM/PL/ORG</vt:lpwstr>
  </property>
  <property fmtid="{D5CDD505-2E9C-101B-9397-08002B2CF9AE}" pid="12" name="Level of sensitivity">
    <vt:lpwstr>Standard treatment</vt:lpwstr>
  </property>
  <property fmtid="{D5CDD505-2E9C-101B-9397-08002B2CF9AE}" pid="13" name="Part">
    <vt:lpwstr>1</vt:lpwstr>
  </property>
  <property fmtid="{D5CDD505-2E9C-101B-9397-08002B2CF9AE}" pid="14" name="Total parts">
    <vt:lpwstr>1</vt:lpwstr>
  </property>
  <property fmtid="{D5CDD505-2E9C-101B-9397-08002B2CF9AE}" pid="15" name="LWTemplateID">
    <vt:lpwstr>SJ-024</vt:lpwstr>
  </property>
  <property fmtid="{D5CDD505-2E9C-101B-9397-08002B2CF9AE}" pid="16" name="DQCStatus">
    <vt:lpwstr>Green (DQC version 03)</vt:lpwstr>
  </property>
</Properties>
</file>