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DE40" w14:textId="77777777" w:rsidR="00D469A0" w:rsidRDefault="00BD5E9B" w:rsidP="000C2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80" w:right="1" w:hanging="10"/>
        <w:jc w:val="center"/>
        <w:rPr>
          <w:b/>
        </w:rPr>
      </w:pPr>
      <w:r>
        <w:rPr>
          <w:b/>
        </w:rPr>
        <w:t xml:space="preserve">Predbežné stanovisko </w:t>
      </w:r>
    </w:p>
    <w:p w14:paraId="203E0496" w14:textId="77777777" w:rsidR="00D469A0" w:rsidRDefault="00D469A0" w:rsidP="000C2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80" w:right="1" w:hanging="10"/>
        <w:jc w:val="center"/>
        <w:rPr>
          <w:b/>
        </w:rPr>
      </w:pPr>
    </w:p>
    <w:p w14:paraId="06429EFA" w14:textId="77777777" w:rsidR="00D469A0" w:rsidRPr="00D469A0" w:rsidRDefault="00C85268" w:rsidP="00D469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80" w:right="1" w:hanging="10"/>
        <w:jc w:val="center"/>
        <w:rPr>
          <w:b/>
        </w:rPr>
      </w:pPr>
      <w:r>
        <w:rPr>
          <w:b/>
        </w:rPr>
        <w:t xml:space="preserve">k návrhu </w:t>
      </w:r>
      <w:r w:rsidR="00D469A0" w:rsidRPr="00D469A0">
        <w:rPr>
          <w:b/>
        </w:rPr>
        <w:t>smernice Európskeho parlamentu a Rady, ktorou sa menia smernice (EÚ) 2022/2464 a (EÚ) 2024/1760, pokiaľ ide o dátumy, od ktorých majú členské štáty uplatňovať určité požiadavky na vykazovanie informácií o udržateľnosti podnikov a náležitú starostlivosť podnikov v oblasti udržateľnosti</w:t>
      </w:r>
    </w:p>
    <w:p w14:paraId="44D97DF0" w14:textId="77777777" w:rsidR="00CD406F" w:rsidRDefault="00CD406F" w:rsidP="000C2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80" w:right="1" w:hanging="10"/>
        <w:jc w:val="center"/>
      </w:pPr>
    </w:p>
    <w:p w14:paraId="66C144F7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t xml:space="preserve"> </w:t>
      </w:r>
    </w:p>
    <w:p w14:paraId="1F7F9D56" w14:textId="77777777" w:rsidR="00CD406F" w:rsidRDefault="00BD5E9B" w:rsidP="000C256C">
      <w:pPr>
        <w:spacing w:after="0" w:line="240" w:lineRule="auto"/>
        <w:ind w:left="72" w:right="0" w:hanging="10"/>
        <w:jc w:val="left"/>
      </w:pPr>
      <w:r>
        <w:rPr>
          <w:b/>
        </w:rPr>
        <w:t>I.</w:t>
      </w:r>
      <w:r>
        <w:t xml:space="preserve"> </w:t>
      </w:r>
      <w:r>
        <w:rPr>
          <w:b/>
          <w:u w:val="single" w:color="000000"/>
        </w:rPr>
        <w:t>VŠEOBECNÁ ČASŤ</w:t>
      </w:r>
      <w:r>
        <w:t xml:space="preserve"> </w:t>
      </w:r>
    </w:p>
    <w:p w14:paraId="7DC3AB67" w14:textId="77777777" w:rsidR="000C256C" w:rsidRDefault="000C256C" w:rsidP="000C256C">
      <w:pPr>
        <w:spacing w:after="0" w:line="240" w:lineRule="auto"/>
        <w:ind w:left="72" w:right="0" w:hanging="10"/>
        <w:jc w:val="left"/>
      </w:pPr>
    </w:p>
    <w:p w14:paraId="56939357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Názov</w:t>
      </w:r>
      <w:r>
        <w:t xml:space="preserve"> </w:t>
      </w:r>
    </w:p>
    <w:p w14:paraId="7688536F" w14:textId="77777777" w:rsidR="00C85268" w:rsidRDefault="00C85268" w:rsidP="00F34021">
      <w:pPr>
        <w:spacing w:after="0" w:line="240" w:lineRule="auto"/>
        <w:ind w:left="360" w:right="0" w:firstLine="0"/>
      </w:pPr>
      <w:r w:rsidRPr="00C85268">
        <w:t>Návrh smernice Európskeho parlamentu a Rady, ktorou sa menia smernice (EÚ) 2022/2464 a (EÚ) 2024/1760, pokiaľ ide o dátumy, od ktorých majú členské štáty uplatňovať určité požiadavky na vykazovanie informácií o udržateľnosti podnikov a náležitú starostlivosť podnikov v oblasti udržateľnosti</w:t>
      </w:r>
    </w:p>
    <w:p w14:paraId="66F5B991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7BDCCD68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Číslo a dátum zverejnenia dokumentu EK</w:t>
      </w:r>
      <w:r>
        <w:t xml:space="preserve"> </w:t>
      </w:r>
    </w:p>
    <w:p w14:paraId="60C117E6" w14:textId="77777777" w:rsidR="00C85268" w:rsidRDefault="00C85268" w:rsidP="000C256C">
      <w:pPr>
        <w:spacing w:after="0" w:line="240" w:lineRule="auto"/>
        <w:ind w:left="360" w:right="0" w:firstLine="0"/>
        <w:jc w:val="left"/>
      </w:pPr>
      <w:r w:rsidRPr="00C85268">
        <w:t>COM</w:t>
      </w:r>
      <w:r>
        <w:t xml:space="preserve"> </w:t>
      </w:r>
      <w:r w:rsidRPr="00C85268">
        <w:t xml:space="preserve">(2025) 80 </w:t>
      </w:r>
      <w:proofErr w:type="spellStart"/>
      <w:r w:rsidRPr="00C85268">
        <w:t>final</w:t>
      </w:r>
      <w:proofErr w:type="spellEnd"/>
      <w:r>
        <w:t>,</w:t>
      </w:r>
      <w:r w:rsidR="007D5844">
        <w:t xml:space="preserve"> </w:t>
      </w:r>
      <w:r w:rsidRPr="00C85268">
        <w:t>26.2.2025</w:t>
      </w:r>
    </w:p>
    <w:p w14:paraId="6ABEBBFA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323E5577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Gestor</w:t>
      </w:r>
      <w:r>
        <w:t xml:space="preserve"> </w:t>
      </w:r>
    </w:p>
    <w:p w14:paraId="1C61826F" w14:textId="77777777" w:rsidR="00CD406F" w:rsidRDefault="0069769D" w:rsidP="000C256C">
      <w:pPr>
        <w:spacing w:after="0" w:line="240" w:lineRule="auto"/>
        <w:ind w:left="360" w:right="0" w:firstLine="0"/>
      </w:pPr>
      <w:r>
        <w:t>Ministerstvo financií Slovenskej republiky</w:t>
      </w:r>
      <w:r w:rsidR="007D5844">
        <w:t xml:space="preserve"> </w:t>
      </w:r>
    </w:p>
    <w:p w14:paraId="63D5ABBF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172AACE9" w14:textId="77777777" w:rsidR="00CD406F" w:rsidRDefault="003F2C07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proofErr w:type="spellStart"/>
      <w:r>
        <w:rPr>
          <w:b/>
        </w:rPr>
        <w:t>Spolugestor</w:t>
      </w:r>
      <w:proofErr w:type="spellEnd"/>
    </w:p>
    <w:p w14:paraId="5B38170C" w14:textId="77777777" w:rsidR="00C85268" w:rsidRDefault="00C85268" w:rsidP="000C256C">
      <w:pPr>
        <w:spacing w:after="0" w:line="240" w:lineRule="auto"/>
        <w:ind w:left="360" w:right="0" w:firstLine="0"/>
        <w:jc w:val="left"/>
      </w:pPr>
      <w:r w:rsidRPr="00C85268">
        <w:t>Ministerstvo ho</w:t>
      </w:r>
      <w:r>
        <w:t>spodárstva Slovenskej republiky</w:t>
      </w:r>
    </w:p>
    <w:p w14:paraId="11D90E3D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rPr>
          <w:b/>
        </w:rPr>
        <w:t xml:space="preserve"> </w:t>
      </w:r>
    </w:p>
    <w:p w14:paraId="4F03FCB2" w14:textId="77777777" w:rsidR="0069769D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Stupeň dôležitosti návrhu</w:t>
      </w:r>
      <w:r w:rsidR="007D5844">
        <w:rPr>
          <w:b/>
        </w:rPr>
        <w:t xml:space="preserve"> </w:t>
      </w:r>
    </w:p>
    <w:p w14:paraId="67021DE4" w14:textId="77777777" w:rsidR="00CD406F" w:rsidRPr="00DB046F" w:rsidRDefault="00EF3407" w:rsidP="0069769D">
      <w:pPr>
        <w:spacing w:after="0" w:line="240" w:lineRule="auto"/>
        <w:ind w:left="360" w:right="0" w:firstLine="0"/>
        <w:jc w:val="left"/>
        <w:rPr>
          <w:color w:val="auto"/>
        </w:rPr>
      </w:pPr>
      <w:r w:rsidRPr="00DB046F">
        <w:rPr>
          <w:color w:val="auto"/>
        </w:rPr>
        <w:t>S</w:t>
      </w:r>
      <w:r w:rsidR="00BD5E9B" w:rsidRPr="00DB046F">
        <w:rPr>
          <w:color w:val="auto"/>
        </w:rPr>
        <w:t xml:space="preserve"> </w:t>
      </w:r>
    </w:p>
    <w:p w14:paraId="57419CE0" w14:textId="77777777" w:rsidR="00CD406F" w:rsidRPr="00DB046F" w:rsidRDefault="00BD5E9B" w:rsidP="000C256C">
      <w:pPr>
        <w:spacing w:after="0" w:line="240" w:lineRule="auto"/>
        <w:ind w:left="360" w:right="0" w:firstLine="0"/>
        <w:jc w:val="left"/>
        <w:rPr>
          <w:color w:val="auto"/>
        </w:rPr>
      </w:pPr>
      <w:r w:rsidRPr="00DB046F">
        <w:rPr>
          <w:color w:val="auto"/>
        </w:rPr>
        <w:t xml:space="preserve"> </w:t>
      </w:r>
    </w:p>
    <w:p w14:paraId="0B2C308B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 xml:space="preserve">Časový priebeh rozhodovacieho procesu v EÚ </w:t>
      </w:r>
    </w:p>
    <w:p w14:paraId="394EFEF1" w14:textId="77777777" w:rsidR="00CD406F" w:rsidRDefault="00727938" w:rsidP="000C256C">
      <w:pPr>
        <w:spacing w:after="0" w:line="240" w:lineRule="auto"/>
        <w:ind w:left="360" w:right="0" w:firstLine="0"/>
      </w:pPr>
      <w:r>
        <w:t>Q2/</w:t>
      </w:r>
      <w:r w:rsidR="003F2C07">
        <w:t>2025</w:t>
      </w:r>
    </w:p>
    <w:p w14:paraId="2697311A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rPr>
          <w:b/>
        </w:rPr>
        <w:t xml:space="preserve"> </w:t>
      </w:r>
    </w:p>
    <w:p w14:paraId="11438C36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Druh rozhodovacieho procesu v EÚ</w:t>
      </w:r>
      <w:r w:rsidR="007D5844">
        <w:rPr>
          <w:b/>
        </w:rPr>
        <w:t xml:space="preserve"> </w:t>
      </w:r>
    </w:p>
    <w:p w14:paraId="6766BE52" w14:textId="77777777" w:rsidR="00CD406F" w:rsidRDefault="000E4F83" w:rsidP="000C256C">
      <w:pPr>
        <w:spacing w:after="0" w:line="240" w:lineRule="auto"/>
        <w:ind w:left="360" w:right="0" w:firstLine="0"/>
      </w:pPr>
      <w:r w:rsidRPr="000E4F83">
        <w:t>Riadny</w:t>
      </w:r>
      <w:r w:rsidR="00BD5E9B" w:rsidRPr="000E4F83">
        <w:t xml:space="preserve"> legislatívny postup</w:t>
      </w:r>
      <w:r w:rsidR="00BD5E9B">
        <w:t xml:space="preserve"> </w:t>
      </w:r>
    </w:p>
    <w:p w14:paraId="6BA02D4C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7AF6B0D2" w14:textId="77777777" w:rsidR="00CD406F" w:rsidRPr="007978AE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 w:rsidRPr="007978AE">
        <w:rPr>
          <w:b/>
        </w:rPr>
        <w:t>Stručné zhrnutie obsahu a cieľa návrhu</w:t>
      </w:r>
      <w:r w:rsidR="007D5844">
        <w:rPr>
          <w:b/>
        </w:rPr>
        <w:t xml:space="preserve"> </w:t>
      </w:r>
    </w:p>
    <w:p w14:paraId="64EA5E00" w14:textId="77777777" w:rsidR="00F34021" w:rsidRDefault="00F21978" w:rsidP="00F34021">
      <w:pPr>
        <w:spacing w:after="120" w:line="240" w:lineRule="auto"/>
        <w:ind w:left="357" w:right="0" w:firstLine="0"/>
      </w:pPr>
      <w:r>
        <w:t xml:space="preserve">Návrh smernice </w:t>
      </w:r>
      <w:r w:rsidR="00F34021" w:rsidRPr="00DE3A5B">
        <w:rPr>
          <w:bCs/>
        </w:rPr>
        <w:t xml:space="preserve">je súčasťou balíka </w:t>
      </w:r>
      <w:proofErr w:type="spellStart"/>
      <w:r w:rsidR="00F34021" w:rsidRPr="00DE3A5B">
        <w:rPr>
          <w:bCs/>
        </w:rPr>
        <w:t>Omnibus</w:t>
      </w:r>
      <w:proofErr w:type="spellEnd"/>
      <w:r w:rsidR="00F34021" w:rsidRPr="00DE3A5B">
        <w:rPr>
          <w:bCs/>
        </w:rPr>
        <w:t xml:space="preserve"> I</w:t>
      </w:r>
      <w:r w:rsidR="00F34021">
        <w:rPr>
          <w:bCs/>
        </w:rPr>
        <w:t> k zjednodušovaniu pravidiel EÚ, ktorého obsahom sú aj ďalšie dva samostatné legislatívne návrhy (podrobnejšia úprava v oblasti udržateľnosti</w:t>
      </w:r>
      <w:r w:rsidR="007D5844">
        <w:rPr>
          <w:bCs/>
        </w:rPr>
        <w:t xml:space="preserve"> </w:t>
      </w:r>
      <w:r w:rsidR="003F2C07">
        <w:rPr>
          <w:bCs/>
        </w:rPr>
        <w:t>(</w:t>
      </w:r>
      <w:r w:rsidR="00F34021">
        <w:rPr>
          <w:bCs/>
        </w:rPr>
        <w:t>smernic</w:t>
      </w:r>
      <w:r w:rsidR="003F2C07">
        <w:rPr>
          <w:bCs/>
        </w:rPr>
        <w:t>a</w:t>
      </w:r>
      <w:r w:rsidR="00F34021">
        <w:rPr>
          <w:bCs/>
        </w:rPr>
        <w:t xml:space="preserve"> (EÚ) 2022/2464</w:t>
      </w:r>
      <w:r w:rsidR="003F2C07">
        <w:rPr>
          <w:bCs/>
        </w:rPr>
        <w:t xml:space="preserve"> a </w:t>
      </w:r>
      <w:r w:rsidR="00F34021">
        <w:rPr>
          <w:bCs/>
        </w:rPr>
        <w:t>smernic</w:t>
      </w:r>
      <w:r w:rsidR="003F2C07">
        <w:rPr>
          <w:bCs/>
        </w:rPr>
        <w:t>a</w:t>
      </w:r>
      <w:r w:rsidR="00F34021">
        <w:rPr>
          <w:bCs/>
        </w:rPr>
        <w:t xml:space="preserve"> (EÚ) </w:t>
      </w:r>
      <w:r w:rsidR="00F34021" w:rsidRPr="00607A24">
        <w:rPr>
          <w:bCs/>
          <w:color w:val="auto"/>
        </w:rPr>
        <w:t>2024/1760</w:t>
      </w:r>
      <w:r w:rsidR="00F34021">
        <w:rPr>
          <w:bCs/>
          <w:color w:val="auto"/>
        </w:rPr>
        <w:t>)</w:t>
      </w:r>
      <w:r w:rsidR="00F34021" w:rsidRPr="00607A24">
        <w:rPr>
          <w:bCs/>
          <w:color w:val="auto"/>
        </w:rPr>
        <w:t xml:space="preserve"> a</w:t>
      </w:r>
      <w:r w:rsidR="003F2C07">
        <w:rPr>
          <w:bCs/>
          <w:color w:val="auto"/>
        </w:rPr>
        <w:t> </w:t>
      </w:r>
      <w:r w:rsidR="00F34021" w:rsidRPr="003F2C07">
        <w:t>revízia</w:t>
      </w:r>
      <w:r w:rsidR="003F2C07" w:rsidRPr="003F2C07">
        <w:t xml:space="preserve"> nariadenia </w:t>
      </w:r>
      <w:r w:rsidR="007D5844">
        <w:t xml:space="preserve">Európskeho parlamentu a Rady </w:t>
      </w:r>
      <w:r w:rsidR="003F2C07" w:rsidRPr="003F2C07">
        <w:t>(EÚ) 2023/956</w:t>
      </w:r>
      <w:r w:rsidR="007D5844">
        <w:t xml:space="preserve"> z 10. mája 2023</w:t>
      </w:r>
      <w:r w:rsidR="003F2C07" w:rsidRPr="003F2C07">
        <w:t>, ktorým sa zriaďuje mechanizmus uhlíkovej kompenzácie na hraniciach</w:t>
      </w:r>
      <w:r w:rsidR="00F34021" w:rsidRPr="003F2C07">
        <w:t>).</w:t>
      </w:r>
    </w:p>
    <w:p w14:paraId="0E250DA1" w14:textId="77777777" w:rsidR="00F34021" w:rsidRDefault="00F34021" w:rsidP="003018E0">
      <w:pPr>
        <w:pStyle w:val="oj-doc-ti"/>
        <w:shd w:val="clear" w:color="auto" w:fill="FFFFFF"/>
        <w:spacing w:before="240" w:beforeAutospacing="0" w:after="120" w:afterAutospacing="0"/>
        <w:ind w:left="357"/>
        <w:jc w:val="both"/>
        <w:rPr>
          <w:color w:val="000000"/>
          <w:szCs w:val="22"/>
        </w:rPr>
      </w:pPr>
      <w:r w:rsidRPr="003018E0">
        <w:rPr>
          <w:color w:val="000000"/>
          <w:szCs w:val="22"/>
        </w:rPr>
        <w:t xml:space="preserve">Cieľom návrhu </w:t>
      </w:r>
      <w:r w:rsidR="00A2235B">
        <w:rPr>
          <w:color w:val="000000"/>
          <w:szCs w:val="22"/>
        </w:rPr>
        <w:t xml:space="preserve">smernice </w:t>
      </w:r>
      <w:r w:rsidRPr="003018E0">
        <w:rPr>
          <w:color w:val="000000"/>
          <w:szCs w:val="22"/>
        </w:rPr>
        <w:t xml:space="preserve">je </w:t>
      </w:r>
      <w:r w:rsidR="000D378E">
        <w:rPr>
          <w:color w:val="000000"/>
          <w:szCs w:val="22"/>
        </w:rPr>
        <w:t xml:space="preserve">poskytnúť </w:t>
      </w:r>
      <w:r w:rsidRPr="003018E0">
        <w:rPr>
          <w:color w:val="000000"/>
          <w:szCs w:val="22"/>
        </w:rPr>
        <w:t xml:space="preserve">odklad začatia uplatňovania určitých ustanovení smernice </w:t>
      </w:r>
      <w:r w:rsidR="003018E0" w:rsidRPr="003018E0">
        <w:rPr>
          <w:color w:val="000000"/>
          <w:szCs w:val="22"/>
        </w:rPr>
        <w:t xml:space="preserve">Európskeho parlamentu a Rady (EÚ) </w:t>
      </w:r>
      <w:r w:rsidRPr="003018E0">
        <w:rPr>
          <w:color w:val="000000"/>
          <w:szCs w:val="22"/>
        </w:rPr>
        <w:t>2022/2464</w:t>
      </w:r>
      <w:r w:rsidR="003018E0" w:rsidRPr="003018E0">
        <w:rPr>
          <w:color w:val="000000"/>
          <w:szCs w:val="22"/>
        </w:rPr>
        <w:t xml:space="preserve"> zo 14. decembra 2022</w:t>
      </w:r>
      <w:r w:rsidR="003F2C07" w:rsidRPr="003018E0">
        <w:rPr>
          <w:color w:val="000000"/>
          <w:szCs w:val="22"/>
        </w:rPr>
        <w:t>, ktorou</w:t>
      </w:r>
      <w:r w:rsidR="007D5844">
        <w:rPr>
          <w:color w:val="000000"/>
          <w:szCs w:val="22"/>
        </w:rPr>
        <w:t xml:space="preserve"> </w:t>
      </w:r>
      <w:r w:rsidR="003018E0" w:rsidRPr="003018E0">
        <w:rPr>
          <w:color w:val="000000"/>
          <w:szCs w:val="22"/>
        </w:rPr>
        <w:t>sa mení nariadenie (EÚ) č. 537/2014, smernica 2004/109/ES, smernica 2006/43/ES a smernica 2013/34/EÚ, pokiaľ ide o vykazovanie informácií o udržateľnosti podnikov</w:t>
      </w:r>
      <w:r w:rsidRPr="003018E0">
        <w:rPr>
          <w:color w:val="000000"/>
          <w:szCs w:val="22"/>
        </w:rPr>
        <w:t xml:space="preserve"> (ďalej len „smernica CSRD“) a smernice</w:t>
      </w:r>
      <w:r w:rsidR="007D5844">
        <w:rPr>
          <w:color w:val="000000"/>
          <w:szCs w:val="22"/>
        </w:rPr>
        <w:t xml:space="preserve"> </w:t>
      </w:r>
      <w:r w:rsidR="003018E0" w:rsidRPr="003018E0">
        <w:rPr>
          <w:color w:val="000000"/>
          <w:szCs w:val="22"/>
        </w:rPr>
        <w:t xml:space="preserve">Európskeho parlamentu a Rady </w:t>
      </w:r>
      <w:r w:rsidRPr="003018E0">
        <w:rPr>
          <w:color w:val="000000"/>
          <w:szCs w:val="22"/>
        </w:rPr>
        <w:t>(EÚ) 202</w:t>
      </w:r>
      <w:r w:rsidR="003018E0" w:rsidRPr="003018E0">
        <w:rPr>
          <w:color w:val="000000"/>
          <w:szCs w:val="22"/>
        </w:rPr>
        <w:t>4</w:t>
      </w:r>
      <w:r w:rsidRPr="003018E0">
        <w:rPr>
          <w:color w:val="000000"/>
          <w:szCs w:val="22"/>
        </w:rPr>
        <w:t xml:space="preserve">/1760 </w:t>
      </w:r>
      <w:r w:rsidR="003018E0" w:rsidRPr="003018E0">
        <w:rPr>
          <w:color w:val="000000"/>
          <w:szCs w:val="22"/>
        </w:rPr>
        <w:t>z 13. júna 2024</w:t>
      </w:r>
      <w:r w:rsidR="003018E0">
        <w:rPr>
          <w:color w:val="000000"/>
          <w:szCs w:val="22"/>
        </w:rPr>
        <w:t xml:space="preserve"> </w:t>
      </w:r>
      <w:r w:rsidR="003018E0" w:rsidRPr="003018E0">
        <w:rPr>
          <w:color w:val="000000"/>
          <w:szCs w:val="22"/>
        </w:rPr>
        <w:t xml:space="preserve">o náležitej starostlivosti podnikov v oblasti udržateľnosti a o zmene smernice (EÚ) 2019/1937 a nariadenia (EÚ) 2023/2859 </w:t>
      </w:r>
      <w:r w:rsidRPr="003018E0">
        <w:rPr>
          <w:color w:val="000000"/>
          <w:szCs w:val="22"/>
        </w:rPr>
        <w:t>(ďalej len „smernica CSDDD“)</w:t>
      </w:r>
      <w:r w:rsidR="00EB5FC8" w:rsidRPr="003018E0">
        <w:rPr>
          <w:color w:val="000000"/>
          <w:szCs w:val="22"/>
        </w:rPr>
        <w:t xml:space="preserve"> vo väzbe zachovania konkurencieschopnosti</w:t>
      </w:r>
      <w:r w:rsidR="007705B8" w:rsidRPr="003018E0">
        <w:rPr>
          <w:color w:val="000000"/>
          <w:szCs w:val="22"/>
        </w:rPr>
        <w:t xml:space="preserve"> </w:t>
      </w:r>
      <w:r w:rsidR="00776079" w:rsidRPr="003018E0">
        <w:rPr>
          <w:color w:val="000000"/>
          <w:szCs w:val="22"/>
        </w:rPr>
        <w:t xml:space="preserve">európskych podnikov </w:t>
      </w:r>
      <w:r w:rsidR="007705B8" w:rsidRPr="003018E0">
        <w:rPr>
          <w:color w:val="000000"/>
          <w:szCs w:val="22"/>
        </w:rPr>
        <w:t>v súčasnom kontexte</w:t>
      </w:r>
      <w:r w:rsidRPr="003018E0">
        <w:rPr>
          <w:color w:val="000000"/>
          <w:szCs w:val="22"/>
        </w:rPr>
        <w:t xml:space="preserve">. </w:t>
      </w:r>
    </w:p>
    <w:p w14:paraId="3E8894FB" w14:textId="77777777" w:rsidR="00D16B67" w:rsidRDefault="00D16B67" w:rsidP="004B77D6">
      <w:pPr>
        <w:spacing w:after="120" w:line="240" w:lineRule="auto"/>
        <w:ind w:left="357" w:right="0" w:firstLine="0"/>
        <w:rPr>
          <w:szCs w:val="24"/>
          <w:u w:val="single"/>
        </w:rPr>
      </w:pPr>
    </w:p>
    <w:p w14:paraId="18C84391" w14:textId="77777777" w:rsidR="00E14728" w:rsidRPr="00776079" w:rsidRDefault="00A2235B" w:rsidP="004B77D6">
      <w:pPr>
        <w:spacing w:after="120" w:line="240" w:lineRule="auto"/>
        <w:ind w:left="357" w:right="0" w:firstLine="0"/>
        <w:rPr>
          <w:szCs w:val="24"/>
          <w:u w:val="single"/>
        </w:rPr>
      </w:pPr>
      <w:r>
        <w:rPr>
          <w:szCs w:val="24"/>
          <w:u w:val="single"/>
        </w:rPr>
        <w:lastRenderedPageBreak/>
        <w:t>K čl. 1 návrhu smernice: navrhované úpravy týkajúce sa s</w:t>
      </w:r>
      <w:r w:rsidR="00F34021" w:rsidRPr="00776079">
        <w:rPr>
          <w:szCs w:val="24"/>
          <w:u w:val="single"/>
        </w:rPr>
        <w:t>mernic</w:t>
      </w:r>
      <w:r>
        <w:rPr>
          <w:szCs w:val="24"/>
          <w:u w:val="single"/>
        </w:rPr>
        <w:t>e</w:t>
      </w:r>
      <w:r w:rsidR="00F34021" w:rsidRPr="00776079">
        <w:rPr>
          <w:szCs w:val="24"/>
          <w:u w:val="single"/>
        </w:rPr>
        <w:t xml:space="preserve"> CSRD </w:t>
      </w:r>
    </w:p>
    <w:p w14:paraId="55D4D81B" w14:textId="77777777" w:rsidR="00E14728" w:rsidRPr="00776079" w:rsidRDefault="00727938" w:rsidP="004B77D6">
      <w:pPr>
        <w:spacing w:after="120" w:line="240" w:lineRule="auto"/>
        <w:ind w:left="357" w:right="0" w:firstLine="0"/>
        <w:rPr>
          <w:szCs w:val="24"/>
        </w:rPr>
      </w:pPr>
      <w:r>
        <w:rPr>
          <w:szCs w:val="24"/>
        </w:rPr>
        <w:t>Smernicou</w:t>
      </w:r>
      <w:r w:rsidR="0071089D" w:rsidRPr="00776079">
        <w:rPr>
          <w:szCs w:val="24"/>
        </w:rPr>
        <w:t xml:space="preserve"> CSRD</w:t>
      </w:r>
      <w:r>
        <w:rPr>
          <w:szCs w:val="24"/>
        </w:rPr>
        <w:t>, ktorá</w:t>
      </w:r>
      <w:r w:rsidR="0071089D" w:rsidRPr="00776079">
        <w:rPr>
          <w:szCs w:val="24"/>
        </w:rPr>
        <w:t xml:space="preserve"> </w:t>
      </w:r>
      <w:r w:rsidR="007705B8" w:rsidRPr="00776079">
        <w:rPr>
          <w:szCs w:val="24"/>
        </w:rPr>
        <w:t xml:space="preserve">nadobudla účinnosť 5. januára 2023 a </w:t>
      </w:r>
      <w:r w:rsidR="0071089D" w:rsidRPr="00776079">
        <w:rPr>
          <w:szCs w:val="24"/>
        </w:rPr>
        <w:t>je dôležitým prvkom Európskej zelenej dohody a akčného plánu o udržateľnom financovaní</w:t>
      </w:r>
      <w:r>
        <w:rPr>
          <w:szCs w:val="24"/>
        </w:rPr>
        <w:t>, sa zaviedli</w:t>
      </w:r>
      <w:r w:rsidR="007D5844">
        <w:rPr>
          <w:szCs w:val="24"/>
        </w:rPr>
        <w:t xml:space="preserve"> </w:t>
      </w:r>
      <w:r w:rsidR="0071089D" w:rsidRPr="00776079">
        <w:rPr>
          <w:szCs w:val="24"/>
        </w:rPr>
        <w:t>požiadavky na vykazovanie informácií o udržateľ</w:t>
      </w:r>
      <w:r w:rsidR="003F7698">
        <w:rPr>
          <w:szCs w:val="24"/>
        </w:rPr>
        <w:t>nosti</w:t>
      </w:r>
      <w:r w:rsidR="0071089D" w:rsidRPr="00776079">
        <w:rPr>
          <w:szCs w:val="24"/>
        </w:rPr>
        <w:t xml:space="preserve"> </w:t>
      </w:r>
      <w:r>
        <w:rPr>
          <w:szCs w:val="24"/>
        </w:rPr>
        <w:t>v</w:t>
      </w:r>
      <w:r w:rsidR="0071089D" w:rsidRPr="00776079">
        <w:rPr>
          <w:szCs w:val="24"/>
        </w:rPr>
        <w:t>o výročnej správe vybraných podnikov</w:t>
      </w:r>
      <w:r w:rsidR="003F7698">
        <w:rPr>
          <w:szCs w:val="24"/>
        </w:rPr>
        <w:t xml:space="preserve"> (veľké podniky, kótované malé a stredné podniky). Uvedené požiadavky </w:t>
      </w:r>
      <w:r w:rsidR="0071089D" w:rsidRPr="00776079">
        <w:rPr>
          <w:szCs w:val="24"/>
        </w:rPr>
        <w:t xml:space="preserve">majú napomôcť investorom a iným zainteresovaným stranám mať k dispozícii potrebné informácie o vplyve </w:t>
      </w:r>
      <w:r w:rsidR="003F7698">
        <w:rPr>
          <w:szCs w:val="24"/>
        </w:rPr>
        <w:t>podnikov</w:t>
      </w:r>
      <w:r w:rsidR="0071089D" w:rsidRPr="00776079">
        <w:rPr>
          <w:szCs w:val="24"/>
        </w:rPr>
        <w:t xml:space="preserve"> na ľudí a životné prostredie. </w:t>
      </w:r>
    </w:p>
    <w:p w14:paraId="61737A1E" w14:textId="77777777" w:rsidR="007705B8" w:rsidRPr="00D469A0" w:rsidRDefault="00646A54" w:rsidP="004B77D6">
      <w:pPr>
        <w:spacing w:after="120" w:line="240" w:lineRule="auto"/>
        <w:ind w:left="357" w:right="0" w:firstLine="0"/>
        <w:rPr>
          <w:szCs w:val="24"/>
        </w:rPr>
      </w:pPr>
      <w:r>
        <w:rPr>
          <w:szCs w:val="24"/>
        </w:rPr>
        <w:t>Z</w:t>
      </w:r>
      <w:r w:rsidR="00776079" w:rsidRPr="00D469A0">
        <w:rPr>
          <w:szCs w:val="24"/>
        </w:rPr>
        <w:t>ačiatok uplatňovania pož</w:t>
      </w:r>
      <w:r w:rsidR="003F7698">
        <w:rPr>
          <w:szCs w:val="24"/>
        </w:rPr>
        <w:t xml:space="preserve">iadaviek na vykazovanie </w:t>
      </w:r>
      <w:r>
        <w:rPr>
          <w:szCs w:val="24"/>
        </w:rPr>
        <w:t xml:space="preserve">bol zavedený postupne </w:t>
      </w:r>
      <w:r w:rsidR="003F7698">
        <w:rPr>
          <w:szCs w:val="24"/>
        </w:rPr>
        <w:t xml:space="preserve">v nadväznosti na veľkosť dotknutých podnikov. V </w:t>
      </w:r>
      <w:r w:rsidR="00776079" w:rsidRPr="00D469A0">
        <w:rPr>
          <w:szCs w:val="24"/>
        </w:rPr>
        <w:t xml:space="preserve">prvej vlne </w:t>
      </w:r>
      <w:r>
        <w:rPr>
          <w:szCs w:val="24"/>
        </w:rPr>
        <w:t xml:space="preserve">vykazovania </w:t>
      </w:r>
      <w:r w:rsidR="00776079" w:rsidRPr="00D469A0">
        <w:rPr>
          <w:szCs w:val="24"/>
        </w:rPr>
        <w:t>sú veľké subjekty verejného záujmu s viac než 500 zamestnancami</w:t>
      </w:r>
      <w:r w:rsidR="003F7698">
        <w:rPr>
          <w:szCs w:val="24"/>
        </w:rPr>
        <w:t xml:space="preserve"> (prvé vykazovanie v roku 2025 za účtovné obdobie 2024).</w:t>
      </w:r>
      <w:r w:rsidR="007D5844">
        <w:rPr>
          <w:szCs w:val="24"/>
        </w:rPr>
        <w:t xml:space="preserve"> </w:t>
      </w:r>
      <w:r w:rsidR="00776079" w:rsidRPr="00D469A0">
        <w:rPr>
          <w:szCs w:val="24"/>
        </w:rPr>
        <w:t>V druhej vlne sú ostatné veľké podniky</w:t>
      </w:r>
      <w:r w:rsidR="003F7698">
        <w:rPr>
          <w:szCs w:val="24"/>
        </w:rPr>
        <w:t xml:space="preserve"> (prvé vykazovanie v roku 2026 za účtovné obdobie 2025) a</w:t>
      </w:r>
      <w:r w:rsidR="00776079" w:rsidRPr="00D469A0">
        <w:rPr>
          <w:szCs w:val="24"/>
        </w:rPr>
        <w:t xml:space="preserve"> </w:t>
      </w:r>
      <w:r w:rsidR="003F7698">
        <w:rPr>
          <w:szCs w:val="24"/>
        </w:rPr>
        <w:t>v</w:t>
      </w:r>
      <w:r w:rsidR="00776079" w:rsidRPr="00D469A0">
        <w:rPr>
          <w:szCs w:val="24"/>
        </w:rPr>
        <w:t xml:space="preserve"> tretej vlne sa nachádzajú malé a stredné podniky, ktorých cenné papiere sú kótované na regulovaných trhoch EÚ</w:t>
      </w:r>
      <w:r w:rsidR="007978AE">
        <w:rPr>
          <w:szCs w:val="24"/>
        </w:rPr>
        <w:t xml:space="preserve">, </w:t>
      </w:r>
      <w:r w:rsidR="007978AE" w:rsidRPr="00D469A0">
        <w:rPr>
          <w:color w:val="auto"/>
        </w:rPr>
        <w:t xml:space="preserve">malé a menej zložité úverové inštitúcie a </w:t>
      </w:r>
      <w:proofErr w:type="spellStart"/>
      <w:r w:rsidR="007978AE" w:rsidRPr="00D469A0">
        <w:rPr>
          <w:color w:val="auto"/>
        </w:rPr>
        <w:t>kaptívne</w:t>
      </w:r>
      <w:proofErr w:type="spellEnd"/>
      <w:r w:rsidR="007978AE" w:rsidRPr="00D469A0">
        <w:rPr>
          <w:color w:val="auto"/>
        </w:rPr>
        <w:t xml:space="preserve"> poisťovne a zaisťovne</w:t>
      </w:r>
      <w:r w:rsidR="003F7698">
        <w:rPr>
          <w:szCs w:val="24"/>
        </w:rPr>
        <w:t xml:space="preserve"> (prvé vykazovanie v roku </w:t>
      </w:r>
      <w:r w:rsidR="00776079" w:rsidRPr="00D469A0">
        <w:rPr>
          <w:szCs w:val="24"/>
        </w:rPr>
        <w:t>2027 za účtovn</w:t>
      </w:r>
      <w:r w:rsidR="003F7698">
        <w:rPr>
          <w:szCs w:val="24"/>
        </w:rPr>
        <w:t>é obdobie</w:t>
      </w:r>
      <w:r w:rsidR="00776079" w:rsidRPr="00D469A0">
        <w:rPr>
          <w:szCs w:val="24"/>
        </w:rPr>
        <w:t xml:space="preserve"> 2026</w:t>
      </w:r>
      <w:r w:rsidR="003F7698">
        <w:rPr>
          <w:szCs w:val="24"/>
        </w:rPr>
        <w:t xml:space="preserve">). </w:t>
      </w:r>
    </w:p>
    <w:p w14:paraId="2620C9D6" w14:textId="77777777" w:rsidR="00997FA7" w:rsidRDefault="00776079" w:rsidP="003018E0">
      <w:pPr>
        <w:pStyle w:val="Default"/>
        <w:ind w:left="357"/>
        <w:jc w:val="both"/>
        <w:rPr>
          <w:color w:val="auto"/>
        </w:rPr>
      </w:pPr>
      <w:r w:rsidRPr="00D469A0">
        <w:t>Návrh</w:t>
      </w:r>
      <w:r w:rsidR="00646A54">
        <w:t xml:space="preserve"> smernice v čl. 1</w:t>
      </w:r>
      <w:r w:rsidRPr="00D469A0">
        <w:t xml:space="preserve"> posúva začiatok uplatňovania požiadaviek na vykazovanie informácií o</w:t>
      </w:r>
      <w:r w:rsidR="00646A54">
        <w:t> </w:t>
      </w:r>
      <w:r w:rsidRPr="00D469A0">
        <w:t>udržateľnosti</w:t>
      </w:r>
      <w:r w:rsidR="00646A54">
        <w:t xml:space="preserve"> </w:t>
      </w:r>
      <w:r w:rsidR="00646A54" w:rsidRPr="00D469A0">
        <w:t>o dva roky</w:t>
      </w:r>
      <w:r w:rsidR="003018E0">
        <w:t>,</w:t>
      </w:r>
      <w:r w:rsidRPr="00D469A0">
        <w:t xml:space="preserve"> </w:t>
      </w:r>
      <w:r w:rsidR="00635D41">
        <w:t xml:space="preserve">a to pre podniky </w:t>
      </w:r>
      <w:r w:rsidRPr="00D469A0">
        <w:t>v rámci druhej vlny</w:t>
      </w:r>
      <w:r w:rsidR="00635D41">
        <w:t xml:space="preserve"> </w:t>
      </w:r>
      <w:r w:rsidR="007978AE">
        <w:t>(</w:t>
      </w:r>
      <w:r w:rsidR="00635D41">
        <w:t>z r. 2025 na r. 2027</w:t>
      </w:r>
      <w:r w:rsidR="007978AE">
        <w:t>)</w:t>
      </w:r>
      <w:r w:rsidRPr="00D469A0">
        <w:rPr>
          <w:color w:val="auto"/>
        </w:rPr>
        <w:t xml:space="preserve"> a</w:t>
      </w:r>
      <w:r w:rsidR="003D26B6">
        <w:rPr>
          <w:color w:val="auto"/>
        </w:rPr>
        <w:br/>
      </w:r>
      <w:r w:rsidR="00635D41">
        <w:rPr>
          <w:color w:val="auto"/>
        </w:rPr>
        <w:t xml:space="preserve"> pre podniky z </w:t>
      </w:r>
      <w:r w:rsidRPr="00D469A0">
        <w:rPr>
          <w:color w:val="auto"/>
        </w:rPr>
        <w:t xml:space="preserve">tretej vlny </w:t>
      </w:r>
      <w:r w:rsidR="007978AE">
        <w:rPr>
          <w:color w:val="auto"/>
        </w:rPr>
        <w:t>(</w:t>
      </w:r>
      <w:r w:rsidR="003018E0">
        <w:rPr>
          <w:color w:val="auto"/>
        </w:rPr>
        <w:t xml:space="preserve">z r. 2026 na r. </w:t>
      </w:r>
      <w:r w:rsidR="007978AE">
        <w:rPr>
          <w:color w:val="auto"/>
        </w:rPr>
        <w:t>2028).</w:t>
      </w:r>
      <w:r w:rsidR="007D5844">
        <w:rPr>
          <w:color w:val="auto"/>
        </w:rPr>
        <w:t xml:space="preserve"> </w:t>
      </w:r>
      <w:r w:rsidR="000D378E">
        <w:rPr>
          <w:color w:val="auto"/>
        </w:rPr>
        <w:t>Cieľom odkladu je zabrániť situácii,</w:t>
      </w:r>
      <w:r w:rsidR="00436FDE">
        <w:rPr>
          <w:color w:val="auto"/>
        </w:rPr>
        <w:t xml:space="preserve"> keď sa od určitých podnikov vyžaduje, aby vykazovali informácie za účtovný rok 2025 (</w:t>
      </w:r>
      <w:r w:rsidR="00630426">
        <w:rPr>
          <w:color w:val="auto"/>
        </w:rPr>
        <w:t>druh</w:t>
      </w:r>
      <w:r w:rsidR="00436FDE">
        <w:rPr>
          <w:color w:val="auto"/>
        </w:rPr>
        <w:t>á vlna) alebo 2026 (</w:t>
      </w:r>
      <w:r w:rsidR="00630426">
        <w:rPr>
          <w:color w:val="auto"/>
        </w:rPr>
        <w:t>tretia</w:t>
      </w:r>
      <w:r w:rsidR="00436FDE">
        <w:rPr>
          <w:color w:val="auto"/>
        </w:rPr>
        <w:t xml:space="preserve"> vlna) a následne sú od tejto požiadavky oslobodené (v nadväznosti </w:t>
      </w:r>
      <w:r w:rsidR="003D26B6">
        <w:rPr>
          <w:color w:val="auto"/>
        </w:rPr>
        <w:br/>
      </w:r>
      <w:r w:rsidR="00436FDE">
        <w:rPr>
          <w:color w:val="auto"/>
        </w:rPr>
        <w:t>na samostatný súbežne predložený legislatívny návrh podrobnejšie upravujúci zmeny CSRD smernice týkajúci sa okrem iného rozsahu vykazujúcich podnikov).</w:t>
      </w:r>
    </w:p>
    <w:p w14:paraId="52EBD0A9" w14:textId="77777777" w:rsidR="00A2235B" w:rsidRDefault="00A2235B" w:rsidP="003018E0">
      <w:pPr>
        <w:pStyle w:val="Default"/>
        <w:ind w:left="357"/>
        <w:jc w:val="both"/>
        <w:rPr>
          <w:color w:val="auto"/>
        </w:rPr>
      </w:pPr>
    </w:p>
    <w:p w14:paraId="3BB0CCE5" w14:textId="77777777" w:rsidR="00A2235B" w:rsidRDefault="00A2235B" w:rsidP="00C84800">
      <w:pPr>
        <w:pStyle w:val="Default"/>
        <w:spacing w:after="120"/>
        <w:ind w:left="357"/>
        <w:jc w:val="both"/>
        <w:rPr>
          <w:color w:val="auto"/>
          <w:u w:val="single"/>
        </w:rPr>
      </w:pPr>
      <w:r w:rsidRPr="00A2235B">
        <w:rPr>
          <w:color w:val="auto"/>
          <w:u w:val="single"/>
        </w:rPr>
        <w:t>K čl. 2 návrhu smernice: navrhované úpravy týkajúce sa smernice CSDDD</w:t>
      </w:r>
    </w:p>
    <w:p w14:paraId="08B13D71" w14:textId="77777777" w:rsidR="007B2B39" w:rsidRPr="001A3A2E" w:rsidRDefault="007B2B39" w:rsidP="003D26B6">
      <w:pPr>
        <w:pStyle w:val="Default"/>
        <w:ind w:left="357"/>
        <w:jc w:val="both"/>
        <w:rPr>
          <w:color w:val="auto"/>
        </w:rPr>
      </w:pPr>
      <w:r w:rsidRPr="001A3A2E">
        <w:rPr>
          <w:color w:val="auto"/>
        </w:rPr>
        <w:t xml:space="preserve">Smernica CSDDD bola prijatá 13. júna 2024 a jej cieľom je zvýšiť zodpovednosť podnikov za dodržiavanie ľudských práv a environmentálnych štandardov, a tým reagovať na globálne výzvy v týchto oblastiach a prispieť k ambícii EÚ prejsť na udržateľné a klimaticky neutrálne hospodárstvo. Smernica </w:t>
      </w:r>
      <w:r w:rsidR="003D26B6">
        <w:rPr>
          <w:color w:val="auto"/>
        </w:rPr>
        <w:t xml:space="preserve">CSDDD </w:t>
      </w:r>
      <w:r w:rsidRPr="001A3A2E">
        <w:rPr>
          <w:color w:val="auto"/>
        </w:rPr>
        <w:t>požaduje od spoločností, aby identifikovali a riešili nepriaznivé vplyvy na ľudské práva a životné prostredie v rámci svojich činností, ako aj v rámci činností svojich dcérskych spoločností a v ich reťazcoch činností. V zmysle súčasného zn</w:t>
      </w:r>
      <w:r w:rsidR="000243F9" w:rsidRPr="001A3A2E">
        <w:rPr>
          <w:color w:val="auto"/>
        </w:rPr>
        <w:t>enia</w:t>
      </w:r>
      <w:r w:rsidRPr="001A3A2E">
        <w:rPr>
          <w:color w:val="auto"/>
        </w:rPr>
        <w:t xml:space="preserve"> smernic</w:t>
      </w:r>
      <w:r w:rsidR="000243F9" w:rsidRPr="001A3A2E">
        <w:rPr>
          <w:color w:val="auto"/>
        </w:rPr>
        <w:t>e</w:t>
      </w:r>
      <w:r w:rsidR="003D26B6">
        <w:rPr>
          <w:color w:val="auto"/>
        </w:rPr>
        <w:t xml:space="preserve"> CSDDD</w:t>
      </w:r>
      <w:r w:rsidRPr="001A3A2E">
        <w:rPr>
          <w:color w:val="auto"/>
        </w:rPr>
        <w:t xml:space="preserve"> sú členské</w:t>
      </w:r>
      <w:r w:rsidR="00C43561">
        <w:rPr>
          <w:color w:val="auto"/>
        </w:rPr>
        <w:t xml:space="preserve"> </w:t>
      </w:r>
      <w:r w:rsidRPr="001A3A2E">
        <w:rPr>
          <w:color w:val="auto"/>
        </w:rPr>
        <w:t xml:space="preserve">štáty povinné transponovať smernicu CSDDD do 26. júla 2026, pričom začiatok uplatňovania jej pravidiel je nastavený na tri fázy v závislosti od veľkosti podnikov: od júla 2027 by sa pravidlá začali uplatňovať </w:t>
      </w:r>
      <w:r w:rsidR="003D26B6">
        <w:rPr>
          <w:color w:val="auto"/>
        </w:rPr>
        <w:br/>
      </w:r>
      <w:r w:rsidRPr="001A3A2E">
        <w:rPr>
          <w:color w:val="auto"/>
        </w:rPr>
        <w:t xml:space="preserve">na spoločnosti v EÚ, ktoré majú viac než 5 000 zamestnancov a vykazujú čistý ročný (celosvetový) obrat vo výške viac než 1,5 miliardy EUR, v druhej vlne, </w:t>
      </w:r>
      <w:proofErr w:type="spellStart"/>
      <w:r w:rsidRPr="001A3A2E">
        <w:rPr>
          <w:color w:val="auto"/>
        </w:rPr>
        <w:t>t.j</w:t>
      </w:r>
      <w:proofErr w:type="spellEnd"/>
      <w:r w:rsidRPr="001A3A2E">
        <w:rPr>
          <w:color w:val="auto"/>
        </w:rPr>
        <w:t xml:space="preserve">. od júla 2028 by sa pravidlá začali uplatňovať na spoločnosti v EÚ s viac než 3 000 zamestnancami a čistým obratom viac než 900 miliónov EUR, a v poslednej vlne, </w:t>
      </w:r>
      <w:proofErr w:type="spellStart"/>
      <w:r w:rsidRPr="001A3A2E">
        <w:rPr>
          <w:color w:val="auto"/>
        </w:rPr>
        <w:t>t.j</w:t>
      </w:r>
      <w:proofErr w:type="spellEnd"/>
      <w:r w:rsidRPr="001A3A2E">
        <w:rPr>
          <w:color w:val="auto"/>
        </w:rPr>
        <w:t>. od júla 2029 by boli všetky ostatné spoločnosti patriace</w:t>
      </w:r>
      <w:r w:rsidR="003D26B6">
        <w:rPr>
          <w:color w:val="auto"/>
        </w:rPr>
        <w:t xml:space="preserve"> </w:t>
      </w:r>
      <w:r w:rsidRPr="001A3A2E">
        <w:rPr>
          <w:color w:val="auto"/>
        </w:rPr>
        <w:t>do všeobecného rozsahu pôsobnosti smernice</w:t>
      </w:r>
      <w:r w:rsidR="003D26B6">
        <w:rPr>
          <w:color w:val="auto"/>
        </w:rPr>
        <w:t xml:space="preserve"> CSDDD</w:t>
      </w:r>
      <w:r w:rsidRPr="001A3A2E">
        <w:rPr>
          <w:color w:val="auto"/>
        </w:rPr>
        <w:t xml:space="preserve"> povinné dodržiavať pravidlá v oblasti udržateľnosti.</w:t>
      </w:r>
    </w:p>
    <w:p w14:paraId="128EE023" w14:textId="77777777" w:rsidR="007B2B39" w:rsidRPr="002102F9" w:rsidRDefault="007B2B39" w:rsidP="007B2B39">
      <w:pPr>
        <w:pStyle w:val="Default"/>
        <w:ind w:left="357"/>
        <w:jc w:val="both"/>
        <w:rPr>
          <w:color w:val="auto"/>
          <w:highlight w:val="yellow"/>
        </w:rPr>
      </w:pPr>
    </w:p>
    <w:p w14:paraId="0E394827" w14:textId="77777777" w:rsidR="001A3A2E" w:rsidRDefault="007B2B39" w:rsidP="007B2B39">
      <w:pPr>
        <w:pStyle w:val="Default"/>
        <w:ind w:left="357"/>
        <w:jc w:val="both"/>
        <w:rPr>
          <w:color w:val="auto"/>
        </w:rPr>
      </w:pPr>
      <w:r w:rsidRPr="001A3A2E">
        <w:rPr>
          <w:color w:val="auto"/>
        </w:rPr>
        <w:t xml:space="preserve">Návrh smernice v čl. 2 posúva lehotu na transpozíciu smernice </w:t>
      </w:r>
      <w:r w:rsidR="003D26B6">
        <w:rPr>
          <w:color w:val="auto"/>
        </w:rPr>
        <w:t xml:space="preserve">CSDDD </w:t>
      </w:r>
      <w:r w:rsidRPr="001A3A2E">
        <w:rPr>
          <w:color w:val="auto"/>
        </w:rPr>
        <w:t>pre členské štáty o jeden rok a taktiež odkladá začiatok uplatňovania smernice</w:t>
      </w:r>
      <w:r w:rsidR="003D26B6">
        <w:rPr>
          <w:color w:val="auto"/>
        </w:rPr>
        <w:t xml:space="preserve"> CSDDD</w:t>
      </w:r>
      <w:r w:rsidRPr="001A3A2E">
        <w:rPr>
          <w:color w:val="auto"/>
        </w:rPr>
        <w:t xml:space="preserve"> na prvú skupinu spoločností. Cieľom návrhu</w:t>
      </w:r>
      <w:r w:rsidR="003D26B6">
        <w:rPr>
          <w:color w:val="auto"/>
        </w:rPr>
        <w:t xml:space="preserve"> smernice</w:t>
      </w:r>
      <w:r w:rsidRPr="001A3A2E">
        <w:rPr>
          <w:color w:val="auto"/>
        </w:rPr>
        <w:t xml:space="preserve"> je poskytnúť viac priestoru členským štátom </w:t>
      </w:r>
      <w:r w:rsidR="003D26B6">
        <w:rPr>
          <w:color w:val="auto"/>
        </w:rPr>
        <w:br/>
      </w:r>
      <w:r w:rsidRPr="001A3A2E">
        <w:rPr>
          <w:color w:val="auto"/>
        </w:rPr>
        <w:t>na transpozíciu smernice</w:t>
      </w:r>
      <w:r w:rsidR="003D26B6">
        <w:rPr>
          <w:color w:val="auto"/>
        </w:rPr>
        <w:t xml:space="preserve"> CSDDD</w:t>
      </w:r>
      <w:r w:rsidRPr="001A3A2E">
        <w:rPr>
          <w:color w:val="auto"/>
        </w:rPr>
        <w:t>, ako aj prvým dotknutým spoločnostiam, aby sa vedeli dostatočne pripraviť na nové povinnosti. Ďalej je cieľom návrhu</w:t>
      </w:r>
      <w:r w:rsidR="003D26B6">
        <w:rPr>
          <w:color w:val="auto"/>
        </w:rPr>
        <w:t xml:space="preserve"> smernice </w:t>
      </w:r>
      <w:r w:rsidRPr="001A3A2E">
        <w:rPr>
          <w:color w:val="auto"/>
        </w:rPr>
        <w:t xml:space="preserve">poskytnúť priestor členským štátom na zohľadnenie usmernení Komisie, ktoré ustanovia, ako by sa </w:t>
      </w:r>
      <w:r w:rsidR="000243F9" w:rsidRPr="001A3A2E">
        <w:rPr>
          <w:color w:val="auto"/>
        </w:rPr>
        <w:t xml:space="preserve">v praxi </w:t>
      </w:r>
      <w:r w:rsidRPr="001A3A2E">
        <w:rPr>
          <w:color w:val="auto"/>
        </w:rPr>
        <w:t>mali plniť povinnosti v oblasti udržateľnosti.</w:t>
      </w:r>
      <w:r w:rsidR="001A3A2E">
        <w:rPr>
          <w:color w:val="auto"/>
        </w:rPr>
        <w:t xml:space="preserve"> </w:t>
      </w:r>
      <w:r w:rsidR="001A3A2E" w:rsidRPr="002D688D">
        <w:rPr>
          <w:color w:val="auto"/>
        </w:rPr>
        <w:t xml:space="preserve">V súbežne predloženom legislatívnom návrhu sú obsiahnuté podrobnejšie návrhy na zmenu ustanovení smernice CSDDD, ktoré prinášajú </w:t>
      </w:r>
      <w:r w:rsidR="001A3A2E" w:rsidRPr="002D688D">
        <w:rPr>
          <w:color w:val="auto"/>
        </w:rPr>
        <w:lastRenderedPageBreak/>
        <w:t>určité uvoľnenie podmienok uplatňovania smernice CSDDD a taktiež sa precizujú ustanoveni</w:t>
      </w:r>
      <w:r w:rsidR="00C84800">
        <w:rPr>
          <w:color w:val="auto"/>
        </w:rPr>
        <w:t>a</w:t>
      </w:r>
      <w:r w:rsidR="001A3A2E" w:rsidRPr="002D688D">
        <w:rPr>
          <w:color w:val="auto"/>
        </w:rPr>
        <w:t xml:space="preserve"> s cieľom dosiahnuť väčšiu harmonizáciu pravidiel naprieč členskými štátmi EÚ.</w:t>
      </w:r>
      <w:r w:rsidR="001A3A2E">
        <w:rPr>
          <w:color w:val="auto"/>
        </w:rPr>
        <w:t xml:space="preserve"> </w:t>
      </w:r>
    </w:p>
    <w:p w14:paraId="4691C4CD" w14:textId="77777777" w:rsidR="007B2B39" w:rsidRPr="003E219B" w:rsidRDefault="007B2B39" w:rsidP="001A3A2E">
      <w:pPr>
        <w:pStyle w:val="Default"/>
        <w:jc w:val="both"/>
        <w:rPr>
          <w:color w:val="auto"/>
        </w:rPr>
      </w:pPr>
    </w:p>
    <w:p w14:paraId="6137D4FF" w14:textId="77777777" w:rsidR="00A2235B" w:rsidRDefault="00A2235B" w:rsidP="003018E0">
      <w:pPr>
        <w:pStyle w:val="Default"/>
        <w:ind w:left="357"/>
        <w:jc w:val="both"/>
        <w:rPr>
          <w:color w:val="auto"/>
          <w:u w:val="single"/>
        </w:rPr>
      </w:pPr>
      <w:r w:rsidRPr="00A2235B">
        <w:rPr>
          <w:color w:val="auto"/>
          <w:u w:val="single"/>
        </w:rPr>
        <w:t>K čl. 3 návrhu smernice: transpozícia</w:t>
      </w:r>
    </w:p>
    <w:p w14:paraId="35F32363" w14:textId="77777777" w:rsidR="001B23E0" w:rsidRDefault="001B23E0" w:rsidP="003018E0">
      <w:pPr>
        <w:pStyle w:val="Default"/>
        <w:ind w:left="357"/>
        <w:jc w:val="both"/>
        <w:rPr>
          <w:color w:val="auto"/>
        </w:rPr>
      </w:pPr>
      <w:r>
        <w:rPr>
          <w:color w:val="auto"/>
        </w:rPr>
        <w:t xml:space="preserve">Vzhľadom na navrhovaný posun lehoty pre vykazovanie informácií o udržateľnosti </w:t>
      </w:r>
      <w:r w:rsidR="003D26B6">
        <w:rPr>
          <w:color w:val="auto"/>
        </w:rPr>
        <w:br/>
      </w:r>
      <w:r>
        <w:rPr>
          <w:color w:val="auto"/>
        </w:rPr>
        <w:t>vo výročnej správe podnikov v druhej vlne týkajúci sa účtovného obdobia roka 2025 sa navrhuje transpozičný termín do 31. decembra 2025.</w:t>
      </w:r>
    </w:p>
    <w:p w14:paraId="4BA16442" w14:textId="77777777" w:rsidR="00C84800" w:rsidRDefault="00C84800" w:rsidP="003018E0">
      <w:pPr>
        <w:pStyle w:val="Default"/>
        <w:ind w:left="357"/>
        <w:jc w:val="both"/>
        <w:rPr>
          <w:color w:val="auto"/>
        </w:rPr>
      </w:pPr>
    </w:p>
    <w:p w14:paraId="099002E9" w14:textId="77777777" w:rsidR="000C256C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Súlad so zásadou subsidiarity</w:t>
      </w:r>
      <w:r>
        <w:t xml:space="preserve"> </w:t>
      </w:r>
    </w:p>
    <w:p w14:paraId="74CC4A55" w14:textId="77777777" w:rsidR="00C85268" w:rsidRDefault="00C85268" w:rsidP="00C85268">
      <w:pPr>
        <w:spacing w:after="0" w:line="240" w:lineRule="auto"/>
        <w:ind w:left="360" w:right="0" w:firstLine="0"/>
      </w:pPr>
      <w:r>
        <w:t>Návrhom smernice sa menia dátumy začatia uplatňovania určitých ustanovení práva EÚ. Tieto dátumy možno zmeniť len prostredníctvom opatrení na úrovni EÚ. Z uvedených dôvodov predložený návrh smernice dodržiava zásadu subsidiarity stanovenú v článku 5 Z</w:t>
      </w:r>
      <w:r w:rsidR="00F34021">
        <w:t>mluvy o fungovaní Európskej únie.</w:t>
      </w:r>
    </w:p>
    <w:p w14:paraId="5C4C86BA" w14:textId="77777777" w:rsidR="001362E3" w:rsidRDefault="001362E3" w:rsidP="00DF56E2">
      <w:pPr>
        <w:spacing w:after="0" w:line="240" w:lineRule="auto"/>
        <w:ind w:left="0" w:right="0" w:firstLine="0"/>
        <w:jc w:val="left"/>
      </w:pPr>
    </w:p>
    <w:p w14:paraId="7ED9847A" w14:textId="77777777" w:rsidR="00EB5BB0" w:rsidRDefault="00BD5E9B" w:rsidP="000C256C">
      <w:pPr>
        <w:spacing w:after="0" w:line="240" w:lineRule="auto"/>
        <w:ind w:left="87" w:right="3378" w:hanging="10"/>
        <w:jc w:val="left"/>
      </w:pPr>
      <w:r>
        <w:t xml:space="preserve">II. </w:t>
      </w:r>
      <w:r>
        <w:rPr>
          <w:u w:val="single" w:color="000000"/>
        </w:rPr>
        <w:t>STANOVISKO SLOVENSKEJ REPUBLIKY</w:t>
      </w:r>
      <w:r>
        <w:t xml:space="preserve"> </w:t>
      </w:r>
    </w:p>
    <w:p w14:paraId="79BC46A2" w14:textId="77777777" w:rsidR="000C256C" w:rsidRDefault="000C256C" w:rsidP="000C256C">
      <w:pPr>
        <w:spacing w:after="0" w:line="240" w:lineRule="auto"/>
        <w:ind w:left="87" w:right="3378" w:hanging="10"/>
        <w:jc w:val="left"/>
      </w:pPr>
    </w:p>
    <w:p w14:paraId="46EEC10B" w14:textId="77777777" w:rsidR="00CD406F" w:rsidRDefault="00BD5E9B" w:rsidP="00370C55">
      <w:pPr>
        <w:numPr>
          <w:ilvl w:val="0"/>
          <w:numId w:val="17"/>
        </w:numPr>
        <w:spacing w:after="0" w:line="240" w:lineRule="auto"/>
        <w:ind w:left="426" w:right="0" w:hanging="426"/>
        <w:jc w:val="left"/>
      </w:pPr>
      <w:r>
        <w:rPr>
          <w:b/>
        </w:rPr>
        <w:t xml:space="preserve">Zhodnotenie vplyvu návrhu na Slovenskú republiku </w:t>
      </w:r>
    </w:p>
    <w:p w14:paraId="50709724" w14:textId="77777777" w:rsidR="00B04BC8" w:rsidRPr="00C84800" w:rsidRDefault="00E14728" w:rsidP="00C84800">
      <w:pPr>
        <w:spacing w:line="240" w:lineRule="auto"/>
        <w:ind w:left="448" w:right="6" w:hanging="23"/>
        <w:rPr>
          <w:rFonts w:eastAsiaTheme="minorEastAsia"/>
          <w:color w:val="auto"/>
          <w:szCs w:val="24"/>
          <w:lang w:eastAsia="en-US"/>
        </w:rPr>
      </w:pPr>
      <w:r w:rsidRPr="00C84800">
        <w:rPr>
          <w:rFonts w:eastAsiaTheme="minorEastAsia"/>
          <w:color w:val="auto"/>
          <w:szCs w:val="24"/>
          <w:lang w:eastAsia="en-US"/>
        </w:rPr>
        <w:t>S</w:t>
      </w:r>
      <w:r w:rsidR="003D26B6">
        <w:rPr>
          <w:rFonts w:eastAsiaTheme="minorEastAsia"/>
          <w:color w:val="auto"/>
          <w:szCs w:val="24"/>
          <w:lang w:eastAsia="en-US"/>
        </w:rPr>
        <w:t>lovenská republika (S</w:t>
      </w:r>
      <w:r w:rsidRPr="00C84800">
        <w:rPr>
          <w:rFonts w:eastAsiaTheme="minorEastAsia"/>
          <w:color w:val="auto"/>
          <w:szCs w:val="24"/>
          <w:lang w:eastAsia="en-US"/>
        </w:rPr>
        <w:t>R</w:t>
      </w:r>
      <w:r w:rsidR="003D26B6">
        <w:rPr>
          <w:rFonts w:eastAsiaTheme="minorEastAsia"/>
          <w:color w:val="auto"/>
          <w:szCs w:val="24"/>
          <w:lang w:eastAsia="en-US"/>
        </w:rPr>
        <w:t>)</w:t>
      </w:r>
      <w:r w:rsidRPr="00C84800">
        <w:rPr>
          <w:rFonts w:eastAsiaTheme="minorEastAsia"/>
          <w:color w:val="auto"/>
          <w:szCs w:val="24"/>
          <w:lang w:eastAsia="en-US"/>
        </w:rPr>
        <w:t xml:space="preserve"> </w:t>
      </w:r>
      <w:r w:rsidR="00F34021" w:rsidRPr="00C84800">
        <w:rPr>
          <w:rFonts w:eastAsiaTheme="minorEastAsia"/>
          <w:color w:val="auto"/>
          <w:szCs w:val="24"/>
          <w:lang w:eastAsia="en-US"/>
        </w:rPr>
        <w:t xml:space="preserve">ustanovenia </w:t>
      </w:r>
      <w:r w:rsidRPr="00C84800">
        <w:rPr>
          <w:rFonts w:eastAsiaTheme="minorEastAsia"/>
          <w:color w:val="auto"/>
          <w:szCs w:val="24"/>
          <w:lang w:eastAsia="en-US"/>
        </w:rPr>
        <w:t>smernic</w:t>
      </w:r>
      <w:r w:rsidR="00F34021" w:rsidRPr="00C84800">
        <w:rPr>
          <w:rFonts w:eastAsiaTheme="minorEastAsia"/>
          <w:color w:val="auto"/>
          <w:szCs w:val="24"/>
          <w:lang w:eastAsia="en-US"/>
        </w:rPr>
        <w:t>e</w:t>
      </w:r>
      <w:r w:rsidRPr="00C84800">
        <w:rPr>
          <w:rFonts w:eastAsiaTheme="minorEastAsia"/>
          <w:color w:val="auto"/>
          <w:szCs w:val="24"/>
          <w:lang w:eastAsia="en-US"/>
        </w:rPr>
        <w:t xml:space="preserve"> CSRD </w:t>
      </w:r>
      <w:r w:rsidR="00F34021" w:rsidRPr="00C84800">
        <w:rPr>
          <w:rFonts w:eastAsiaTheme="minorEastAsia"/>
          <w:color w:val="auto"/>
          <w:szCs w:val="24"/>
          <w:lang w:eastAsia="en-US"/>
        </w:rPr>
        <w:t>týkajúce sa vykazovania informácií o</w:t>
      </w:r>
      <w:r w:rsidR="00776079" w:rsidRPr="00C84800">
        <w:rPr>
          <w:rFonts w:eastAsiaTheme="minorEastAsia"/>
          <w:color w:val="auto"/>
          <w:szCs w:val="24"/>
          <w:lang w:eastAsia="en-US"/>
        </w:rPr>
        <w:t> </w:t>
      </w:r>
      <w:r w:rsidR="00F34021" w:rsidRPr="00C84800">
        <w:rPr>
          <w:rFonts w:eastAsiaTheme="minorEastAsia"/>
          <w:color w:val="auto"/>
          <w:szCs w:val="24"/>
          <w:lang w:eastAsia="en-US"/>
        </w:rPr>
        <w:t>udržateľnosti</w:t>
      </w:r>
      <w:r w:rsidR="00776079" w:rsidRPr="00C84800">
        <w:rPr>
          <w:rFonts w:eastAsiaTheme="minorEastAsia"/>
          <w:color w:val="auto"/>
          <w:szCs w:val="24"/>
          <w:lang w:eastAsia="en-US"/>
        </w:rPr>
        <w:t xml:space="preserve"> vo výročnej správe</w:t>
      </w:r>
      <w:r w:rsidR="00F34021" w:rsidRPr="00C84800">
        <w:rPr>
          <w:rFonts w:eastAsiaTheme="minorEastAsia"/>
          <w:color w:val="auto"/>
          <w:szCs w:val="24"/>
          <w:lang w:eastAsia="en-US"/>
        </w:rPr>
        <w:t xml:space="preserve"> </w:t>
      </w:r>
      <w:r w:rsidRPr="00C84800">
        <w:rPr>
          <w:rFonts w:eastAsiaTheme="minorEastAsia"/>
          <w:color w:val="auto"/>
          <w:szCs w:val="24"/>
          <w:lang w:eastAsia="en-US"/>
        </w:rPr>
        <w:t xml:space="preserve">transponovala </w:t>
      </w:r>
      <w:r w:rsidR="00F34021" w:rsidRPr="00C84800">
        <w:rPr>
          <w:rFonts w:eastAsiaTheme="minorEastAsia"/>
          <w:color w:val="auto"/>
          <w:szCs w:val="24"/>
          <w:lang w:eastAsia="en-US"/>
        </w:rPr>
        <w:t>do zákona č. 431/2002 Z. z. o</w:t>
      </w:r>
      <w:r w:rsidR="00D469A0" w:rsidRPr="00C84800">
        <w:rPr>
          <w:rFonts w:eastAsiaTheme="minorEastAsia"/>
          <w:color w:val="auto"/>
          <w:szCs w:val="24"/>
          <w:lang w:eastAsia="en-US"/>
        </w:rPr>
        <w:t> </w:t>
      </w:r>
      <w:r w:rsidR="00F34021" w:rsidRPr="00C84800">
        <w:rPr>
          <w:rFonts w:eastAsiaTheme="minorEastAsia"/>
          <w:color w:val="auto"/>
          <w:szCs w:val="24"/>
          <w:lang w:eastAsia="en-US"/>
        </w:rPr>
        <w:t>účtovníctve</w:t>
      </w:r>
      <w:r w:rsidR="00D469A0" w:rsidRPr="00C84800">
        <w:rPr>
          <w:rFonts w:eastAsiaTheme="minorEastAsia"/>
          <w:color w:val="auto"/>
          <w:szCs w:val="24"/>
          <w:lang w:eastAsia="en-US"/>
        </w:rPr>
        <w:t xml:space="preserve"> v znení neskorších predpisov</w:t>
      </w:r>
      <w:r w:rsidR="00A2235B" w:rsidRPr="00C84800">
        <w:rPr>
          <w:rFonts w:eastAsiaTheme="minorEastAsia"/>
          <w:color w:val="auto"/>
          <w:szCs w:val="24"/>
          <w:lang w:eastAsia="en-US"/>
        </w:rPr>
        <w:t xml:space="preserve"> (ďalej len „zákon o účtovníctve“)</w:t>
      </w:r>
      <w:r w:rsidR="00635D41" w:rsidRPr="00C84800">
        <w:rPr>
          <w:rFonts w:eastAsiaTheme="minorEastAsia"/>
          <w:color w:val="auto"/>
          <w:szCs w:val="24"/>
          <w:lang w:eastAsia="en-US"/>
        </w:rPr>
        <w:t>, pričom transpozícia bola uskutočnená v rámci transpozičného termínu</w:t>
      </w:r>
      <w:r w:rsidR="00630426" w:rsidRPr="00C84800">
        <w:rPr>
          <w:rFonts w:eastAsiaTheme="minorEastAsia"/>
          <w:color w:val="auto"/>
          <w:szCs w:val="24"/>
          <w:lang w:eastAsia="en-US"/>
        </w:rPr>
        <w:t xml:space="preserve">, ktorý bol určený do </w:t>
      </w:r>
      <w:r w:rsidR="00635D41" w:rsidRPr="00C84800">
        <w:rPr>
          <w:rFonts w:eastAsiaTheme="minorEastAsia"/>
          <w:color w:val="auto"/>
          <w:szCs w:val="24"/>
          <w:lang w:eastAsia="en-US"/>
        </w:rPr>
        <w:t>6. júl</w:t>
      </w:r>
      <w:r w:rsidR="00630426" w:rsidRPr="00C84800">
        <w:rPr>
          <w:rFonts w:eastAsiaTheme="minorEastAsia"/>
          <w:color w:val="auto"/>
          <w:szCs w:val="24"/>
          <w:lang w:eastAsia="en-US"/>
        </w:rPr>
        <w:t>a</w:t>
      </w:r>
      <w:r w:rsidR="00635D41" w:rsidRPr="00C84800">
        <w:rPr>
          <w:rFonts w:eastAsiaTheme="minorEastAsia"/>
          <w:color w:val="auto"/>
          <w:szCs w:val="24"/>
          <w:lang w:eastAsia="en-US"/>
        </w:rPr>
        <w:t xml:space="preserve"> 2024. V súlade </w:t>
      </w:r>
      <w:r w:rsidR="003D26B6">
        <w:rPr>
          <w:rFonts w:eastAsiaTheme="minorEastAsia"/>
          <w:color w:val="auto"/>
          <w:szCs w:val="24"/>
          <w:lang w:eastAsia="en-US"/>
        </w:rPr>
        <w:br/>
      </w:r>
      <w:r w:rsidR="00635D41" w:rsidRPr="00C84800">
        <w:rPr>
          <w:rFonts w:eastAsiaTheme="minorEastAsia"/>
          <w:color w:val="auto"/>
          <w:szCs w:val="24"/>
          <w:lang w:eastAsia="en-US"/>
        </w:rPr>
        <w:t>so smernicou CSRD bol</w:t>
      </w:r>
      <w:r w:rsidR="00B83F60" w:rsidRPr="00C84800">
        <w:rPr>
          <w:rFonts w:eastAsiaTheme="minorEastAsia"/>
          <w:color w:val="auto"/>
          <w:szCs w:val="24"/>
          <w:lang w:eastAsia="en-US"/>
        </w:rPr>
        <w:t xml:space="preserve"> </w:t>
      </w:r>
      <w:r w:rsidR="00630426" w:rsidRPr="00C84800">
        <w:rPr>
          <w:rFonts w:eastAsiaTheme="minorEastAsia"/>
          <w:color w:val="auto"/>
          <w:szCs w:val="24"/>
          <w:lang w:eastAsia="en-US"/>
        </w:rPr>
        <w:t xml:space="preserve">v zákone o účtovníctve </w:t>
      </w:r>
      <w:r w:rsidR="00B83F60" w:rsidRPr="00C84800">
        <w:rPr>
          <w:rFonts w:eastAsiaTheme="minorEastAsia"/>
          <w:color w:val="auto"/>
          <w:szCs w:val="24"/>
          <w:lang w:eastAsia="en-US"/>
        </w:rPr>
        <w:t>ustanoven</w:t>
      </w:r>
      <w:r w:rsidR="004D529C" w:rsidRPr="00C84800">
        <w:rPr>
          <w:rFonts w:eastAsiaTheme="minorEastAsia"/>
          <w:color w:val="auto"/>
          <w:szCs w:val="24"/>
          <w:lang w:eastAsia="en-US"/>
        </w:rPr>
        <w:t>ý</w:t>
      </w:r>
      <w:r w:rsidR="00B83F60" w:rsidRPr="00C84800">
        <w:rPr>
          <w:rFonts w:eastAsiaTheme="minorEastAsia"/>
          <w:color w:val="auto"/>
          <w:szCs w:val="24"/>
          <w:lang w:eastAsia="en-US"/>
        </w:rPr>
        <w:t xml:space="preserve"> </w:t>
      </w:r>
      <w:r w:rsidR="00635D41" w:rsidRPr="00C84800">
        <w:rPr>
          <w:rFonts w:eastAsiaTheme="minorEastAsia"/>
          <w:color w:val="auto"/>
          <w:szCs w:val="24"/>
          <w:lang w:eastAsia="en-US"/>
        </w:rPr>
        <w:t>aj postupn</w:t>
      </w:r>
      <w:r w:rsidR="00B83F60" w:rsidRPr="00C84800">
        <w:rPr>
          <w:rFonts w:eastAsiaTheme="minorEastAsia"/>
          <w:color w:val="auto"/>
          <w:szCs w:val="24"/>
          <w:lang w:eastAsia="en-US"/>
        </w:rPr>
        <w:t>ý začiatok vykazovania pre jednotlivé skupiny účtovných jednotiek.</w:t>
      </w:r>
      <w:r w:rsidR="003A6B32" w:rsidRPr="00C84800">
        <w:rPr>
          <w:rFonts w:eastAsiaTheme="minorEastAsia"/>
          <w:color w:val="auto"/>
          <w:szCs w:val="24"/>
          <w:lang w:eastAsia="en-US"/>
        </w:rPr>
        <w:t xml:space="preserve"> </w:t>
      </w:r>
      <w:r w:rsidR="00635D41" w:rsidRPr="00C84800">
        <w:rPr>
          <w:rFonts w:eastAsiaTheme="minorEastAsia"/>
          <w:color w:val="auto"/>
          <w:szCs w:val="24"/>
          <w:lang w:eastAsia="en-US"/>
        </w:rPr>
        <w:t>Keďže sa očakáva, že d</w:t>
      </w:r>
      <w:r w:rsidR="004D529C" w:rsidRPr="00C84800">
        <w:rPr>
          <w:rFonts w:eastAsiaTheme="minorEastAsia"/>
          <w:color w:val="auto"/>
          <w:szCs w:val="24"/>
          <w:lang w:eastAsia="en-US"/>
        </w:rPr>
        <w:t>otknuté subjekty</w:t>
      </w:r>
      <w:r w:rsidR="00646A54" w:rsidRPr="00C84800">
        <w:rPr>
          <w:rFonts w:eastAsiaTheme="minorEastAsia"/>
          <w:color w:val="auto"/>
          <w:szCs w:val="24"/>
          <w:lang w:eastAsia="en-US"/>
        </w:rPr>
        <w:t xml:space="preserve"> z druhej vlny</w:t>
      </w:r>
      <w:r w:rsidR="004D529C" w:rsidRPr="00C84800">
        <w:rPr>
          <w:rFonts w:eastAsiaTheme="minorEastAsia"/>
          <w:color w:val="auto"/>
          <w:szCs w:val="24"/>
          <w:lang w:eastAsia="en-US"/>
        </w:rPr>
        <w:t xml:space="preserve"> sa na splnenie prvej </w:t>
      </w:r>
      <w:r w:rsidR="007705B8" w:rsidRPr="00C84800">
        <w:rPr>
          <w:rFonts w:eastAsiaTheme="minorEastAsia"/>
          <w:color w:val="auto"/>
          <w:szCs w:val="24"/>
          <w:lang w:eastAsia="en-US"/>
        </w:rPr>
        <w:t>vykazovac</w:t>
      </w:r>
      <w:r w:rsidR="004D529C" w:rsidRPr="00C84800">
        <w:rPr>
          <w:rFonts w:eastAsiaTheme="minorEastAsia"/>
          <w:color w:val="auto"/>
          <w:szCs w:val="24"/>
          <w:lang w:eastAsia="en-US"/>
        </w:rPr>
        <w:t>ej</w:t>
      </w:r>
      <w:r w:rsidR="007705B8" w:rsidRPr="00C84800">
        <w:rPr>
          <w:rFonts w:eastAsiaTheme="minorEastAsia"/>
          <w:color w:val="auto"/>
          <w:szCs w:val="24"/>
          <w:lang w:eastAsia="en-US"/>
        </w:rPr>
        <w:t xml:space="preserve"> povinnosti pripravujú</w:t>
      </w:r>
      <w:r w:rsidR="004D529C" w:rsidRPr="00C84800">
        <w:rPr>
          <w:rFonts w:eastAsiaTheme="minorEastAsia"/>
          <w:color w:val="auto"/>
          <w:szCs w:val="24"/>
          <w:lang w:eastAsia="en-US"/>
        </w:rPr>
        <w:t xml:space="preserve"> a</w:t>
      </w:r>
      <w:r w:rsidR="00B83F60" w:rsidRPr="00C84800">
        <w:rPr>
          <w:rFonts w:eastAsiaTheme="minorEastAsia"/>
          <w:color w:val="auto"/>
          <w:szCs w:val="24"/>
          <w:lang w:eastAsia="en-US"/>
        </w:rPr>
        <w:t xml:space="preserve"> transpozičná lehota pre</w:t>
      </w:r>
      <w:r w:rsidR="004D529C" w:rsidRPr="00C84800">
        <w:rPr>
          <w:rFonts w:eastAsiaTheme="minorEastAsia"/>
          <w:color w:val="auto"/>
          <w:szCs w:val="24"/>
          <w:lang w:eastAsia="en-US"/>
        </w:rPr>
        <w:t xml:space="preserve"> článok 1 (zmeny smernice CSRD) je navrhovaná do 31. decembra 2025, </w:t>
      </w:r>
      <w:r w:rsidR="00635D41" w:rsidRPr="00C84800">
        <w:rPr>
          <w:rFonts w:eastAsiaTheme="minorEastAsia"/>
          <w:color w:val="auto"/>
          <w:szCs w:val="24"/>
          <w:lang w:eastAsia="en-US"/>
        </w:rPr>
        <w:t>je</w:t>
      </w:r>
      <w:r w:rsidR="007705B8" w:rsidRPr="00C84800">
        <w:rPr>
          <w:rFonts w:eastAsiaTheme="minorEastAsia"/>
          <w:color w:val="auto"/>
          <w:szCs w:val="24"/>
          <w:lang w:eastAsia="en-US"/>
        </w:rPr>
        <w:t xml:space="preserve"> </w:t>
      </w:r>
      <w:r w:rsidR="00635D41" w:rsidRPr="00C84800">
        <w:rPr>
          <w:rFonts w:eastAsiaTheme="minorEastAsia"/>
          <w:color w:val="auto"/>
          <w:szCs w:val="24"/>
          <w:lang w:eastAsia="en-US"/>
        </w:rPr>
        <w:t xml:space="preserve">v tejto súvislosti </w:t>
      </w:r>
      <w:r w:rsidR="007705B8" w:rsidRPr="00C84800">
        <w:rPr>
          <w:rFonts w:eastAsiaTheme="minorEastAsia"/>
          <w:color w:val="auto"/>
          <w:szCs w:val="24"/>
          <w:lang w:eastAsia="en-US"/>
        </w:rPr>
        <w:t>pre SR skoré prijatie návrhu</w:t>
      </w:r>
      <w:r w:rsidR="00A2235B" w:rsidRPr="00C84800">
        <w:rPr>
          <w:rFonts w:eastAsiaTheme="minorEastAsia"/>
          <w:color w:val="auto"/>
          <w:szCs w:val="24"/>
          <w:lang w:eastAsia="en-US"/>
        </w:rPr>
        <w:t xml:space="preserve"> smernice</w:t>
      </w:r>
      <w:r w:rsidR="007705B8" w:rsidRPr="00C84800">
        <w:rPr>
          <w:rFonts w:eastAsiaTheme="minorEastAsia"/>
          <w:color w:val="auto"/>
          <w:szCs w:val="24"/>
          <w:lang w:eastAsia="en-US"/>
        </w:rPr>
        <w:t xml:space="preserve"> kľúčové.</w:t>
      </w:r>
      <w:r w:rsidR="004D529C" w:rsidRPr="00C84800">
        <w:rPr>
          <w:rFonts w:eastAsiaTheme="minorEastAsia"/>
          <w:color w:val="auto"/>
          <w:szCs w:val="24"/>
          <w:lang w:eastAsia="en-US"/>
        </w:rPr>
        <w:t xml:space="preserve"> </w:t>
      </w:r>
      <w:r w:rsidR="00B83F60" w:rsidRPr="00C84800">
        <w:rPr>
          <w:rFonts w:eastAsiaTheme="minorEastAsia"/>
          <w:color w:val="auto"/>
          <w:szCs w:val="24"/>
          <w:lang w:eastAsia="en-US"/>
        </w:rPr>
        <w:t>Navrhovaný p</w:t>
      </w:r>
      <w:r w:rsidR="007705B8" w:rsidRPr="00C84800">
        <w:rPr>
          <w:rFonts w:eastAsiaTheme="minorEastAsia"/>
          <w:color w:val="auto"/>
          <w:szCs w:val="24"/>
          <w:lang w:eastAsia="en-US"/>
        </w:rPr>
        <w:t xml:space="preserve">osun lehôt </w:t>
      </w:r>
      <w:r w:rsidR="00A2235B" w:rsidRPr="00C84800">
        <w:rPr>
          <w:rFonts w:eastAsiaTheme="minorEastAsia"/>
          <w:color w:val="auto"/>
          <w:szCs w:val="24"/>
          <w:lang w:eastAsia="en-US"/>
        </w:rPr>
        <w:t>v čl</w:t>
      </w:r>
      <w:r w:rsidR="003D26B6">
        <w:rPr>
          <w:rFonts w:eastAsiaTheme="minorEastAsia"/>
          <w:color w:val="auto"/>
          <w:szCs w:val="24"/>
          <w:lang w:eastAsia="en-US"/>
        </w:rPr>
        <w:t>ánku</w:t>
      </w:r>
      <w:r w:rsidR="00A2235B" w:rsidRPr="00C84800">
        <w:rPr>
          <w:rFonts w:eastAsiaTheme="minorEastAsia"/>
          <w:color w:val="auto"/>
          <w:szCs w:val="24"/>
          <w:lang w:eastAsia="en-US"/>
        </w:rPr>
        <w:t xml:space="preserve"> 1 návrhu smernice</w:t>
      </w:r>
      <w:r w:rsidR="007705B8" w:rsidRPr="00C84800">
        <w:rPr>
          <w:rFonts w:eastAsiaTheme="minorEastAsia"/>
          <w:color w:val="auto"/>
          <w:szCs w:val="24"/>
          <w:lang w:eastAsia="en-US"/>
        </w:rPr>
        <w:t xml:space="preserve"> </w:t>
      </w:r>
      <w:r w:rsidR="002E7115" w:rsidRPr="00C84800">
        <w:rPr>
          <w:rFonts w:eastAsiaTheme="minorEastAsia"/>
          <w:color w:val="auto"/>
          <w:szCs w:val="24"/>
          <w:lang w:eastAsia="en-US"/>
        </w:rPr>
        <w:t xml:space="preserve">si vyžiada prevzatie do zákona </w:t>
      </w:r>
      <w:r w:rsidR="007705B8" w:rsidRPr="00C84800">
        <w:rPr>
          <w:rFonts w:eastAsiaTheme="minorEastAsia"/>
          <w:color w:val="auto"/>
          <w:szCs w:val="24"/>
          <w:lang w:eastAsia="en-US"/>
        </w:rPr>
        <w:t xml:space="preserve">o účtovníctve. </w:t>
      </w:r>
    </w:p>
    <w:p w14:paraId="0A63193F" w14:textId="77777777" w:rsidR="001B2935" w:rsidRDefault="001B2935" w:rsidP="00635D41">
      <w:pPr>
        <w:pStyle w:val="Bezriadkovania"/>
        <w:ind w:left="426"/>
        <w:jc w:val="both"/>
        <w:rPr>
          <w:szCs w:val="24"/>
        </w:rPr>
      </w:pPr>
    </w:p>
    <w:p w14:paraId="16CC3F36" w14:textId="77777777" w:rsidR="001B2935" w:rsidRPr="00AC3B87" w:rsidRDefault="001B2935" w:rsidP="00AC3B87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6C3B">
        <w:rPr>
          <w:rFonts w:ascii="Times New Roman" w:hAnsi="Times New Roman" w:cs="Times New Roman"/>
          <w:sz w:val="24"/>
          <w:szCs w:val="24"/>
        </w:rPr>
        <w:t xml:space="preserve">Smernica CSDDD do právneho poriadku SR zatiaľ transponovaná nebola a spoločnosti ju ešte neuplatňujú. Prípravné práce na tvorbe nového </w:t>
      </w:r>
      <w:r w:rsidR="000243F9" w:rsidRPr="00B36C3B">
        <w:rPr>
          <w:rFonts w:ascii="Times New Roman" w:hAnsi="Times New Roman" w:cs="Times New Roman"/>
          <w:sz w:val="24"/>
          <w:szCs w:val="24"/>
        </w:rPr>
        <w:t xml:space="preserve">predpisu, ktorým bude smernica transponovaná </w:t>
      </w:r>
      <w:r w:rsidRPr="00B36C3B">
        <w:rPr>
          <w:rFonts w:ascii="Times New Roman" w:hAnsi="Times New Roman" w:cs="Times New Roman"/>
          <w:sz w:val="24"/>
          <w:szCs w:val="24"/>
        </w:rPr>
        <w:t xml:space="preserve">boli </w:t>
      </w:r>
      <w:r w:rsidR="000243F9" w:rsidRPr="00B36C3B">
        <w:rPr>
          <w:rFonts w:ascii="Times New Roman" w:hAnsi="Times New Roman" w:cs="Times New Roman"/>
          <w:sz w:val="24"/>
          <w:szCs w:val="24"/>
        </w:rPr>
        <w:t>spustené</w:t>
      </w:r>
      <w:r w:rsidRPr="00B36C3B">
        <w:rPr>
          <w:rFonts w:ascii="Times New Roman" w:hAnsi="Times New Roman" w:cs="Times New Roman"/>
          <w:sz w:val="24"/>
          <w:szCs w:val="24"/>
        </w:rPr>
        <w:t xml:space="preserve"> a</w:t>
      </w:r>
      <w:r w:rsidR="000243F9" w:rsidRPr="00B36C3B">
        <w:rPr>
          <w:rFonts w:ascii="Times New Roman" w:hAnsi="Times New Roman" w:cs="Times New Roman"/>
          <w:sz w:val="24"/>
          <w:szCs w:val="24"/>
        </w:rPr>
        <w:t> dotknuté subjekty</w:t>
      </w:r>
      <w:r w:rsidRPr="00B36C3B">
        <w:rPr>
          <w:rFonts w:ascii="Times New Roman" w:hAnsi="Times New Roman" w:cs="Times New Roman"/>
          <w:sz w:val="24"/>
          <w:szCs w:val="24"/>
        </w:rPr>
        <w:t xml:space="preserve"> sa postupne oboznamujú s požiadavkami, ktoré na ne budú kladené. Posun transpozičnej lehoty a následne aj lehoty na začatia uplatňovania smernice</w:t>
      </w:r>
      <w:r w:rsidR="00AC3B87">
        <w:rPr>
          <w:rFonts w:ascii="Times New Roman" w:hAnsi="Times New Roman" w:cs="Times New Roman"/>
          <w:sz w:val="24"/>
          <w:szCs w:val="24"/>
        </w:rPr>
        <w:t xml:space="preserve"> CSDD</w:t>
      </w:r>
      <w:r w:rsidRPr="00B36C3B">
        <w:rPr>
          <w:rFonts w:ascii="Times New Roman" w:hAnsi="Times New Roman" w:cs="Times New Roman"/>
          <w:sz w:val="24"/>
          <w:szCs w:val="24"/>
        </w:rPr>
        <w:t xml:space="preserve"> je zásadným krokom, ktorý poskytne dotknutým spoločnostiam väčší časový priestor pripraviť sa na plnenie nových povinnosti v oblasti udržateľnosti</w:t>
      </w:r>
      <w:r w:rsidR="00AC3B87">
        <w:rPr>
          <w:rFonts w:ascii="Times New Roman" w:hAnsi="Times New Roman" w:cs="Times New Roman"/>
          <w:sz w:val="24"/>
          <w:szCs w:val="24"/>
        </w:rPr>
        <w:t xml:space="preserve"> </w:t>
      </w:r>
      <w:r w:rsidRPr="00B36C3B">
        <w:rPr>
          <w:rFonts w:ascii="Times New Roman" w:hAnsi="Times New Roman" w:cs="Times New Roman"/>
          <w:sz w:val="24"/>
          <w:szCs w:val="24"/>
        </w:rPr>
        <w:t>a</w:t>
      </w:r>
      <w:r w:rsidR="00AC3B87">
        <w:rPr>
          <w:rFonts w:ascii="Times New Roman" w:hAnsi="Times New Roman" w:cs="Times New Roman"/>
          <w:sz w:val="24"/>
          <w:szCs w:val="24"/>
        </w:rPr>
        <w:t xml:space="preserve"> </w:t>
      </w:r>
      <w:r w:rsidRPr="00B36C3B">
        <w:rPr>
          <w:rFonts w:ascii="Times New Roman" w:hAnsi="Times New Roman" w:cs="Times New Roman"/>
          <w:sz w:val="24"/>
          <w:szCs w:val="24"/>
        </w:rPr>
        <w:t xml:space="preserve">pre SR to predstavuje možnosť </w:t>
      </w:r>
      <w:r w:rsidR="000243F9" w:rsidRPr="00B36C3B">
        <w:rPr>
          <w:rFonts w:ascii="Times New Roman" w:hAnsi="Times New Roman" w:cs="Times New Roman"/>
          <w:sz w:val="24"/>
          <w:szCs w:val="24"/>
        </w:rPr>
        <w:t xml:space="preserve">spracovať kvalitnú legislatívu a pripraviť </w:t>
      </w:r>
      <w:r w:rsidR="002B5A01" w:rsidRPr="00B36C3B">
        <w:rPr>
          <w:rFonts w:ascii="Times New Roman" w:hAnsi="Times New Roman" w:cs="Times New Roman"/>
          <w:sz w:val="24"/>
          <w:szCs w:val="24"/>
        </w:rPr>
        <w:t>transpozíciu</w:t>
      </w:r>
      <w:r w:rsidRPr="00B36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1AC5F" w14:textId="77777777" w:rsidR="00630426" w:rsidRDefault="00630426" w:rsidP="00635D41">
      <w:pPr>
        <w:pStyle w:val="Bezriadkovania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sk-SK"/>
        </w:rPr>
      </w:pPr>
    </w:p>
    <w:p w14:paraId="395E835E" w14:textId="77777777" w:rsidR="00C16228" w:rsidRDefault="00BD5E9B" w:rsidP="00B35497">
      <w:pPr>
        <w:numPr>
          <w:ilvl w:val="0"/>
          <w:numId w:val="17"/>
        </w:numPr>
        <w:spacing w:after="0" w:line="240" w:lineRule="auto"/>
        <w:ind w:left="426" w:right="0" w:hanging="426"/>
        <w:jc w:val="left"/>
      </w:pPr>
      <w:r>
        <w:rPr>
          <w:b/>
        </w:rPr>
        <w:t>Pozícia Slovenskej republiky</w:t>
      </w:r>
      <w:r w:rsidR="007D5844">
        <w:rPr>
          <w:b/>
        </w:rPr>
        <w:t xml:space="preserve"> </w:t>
      </w:r>
    </w:p>
    <w:p w14:paraId="79E2723B" w14:textId="77777777" w:rsidR="00C85268" w:rsidRDefault="00C85268" w:rsidP="00B35497">
      <w:pPr>
        <w:spacing w:after="0" w:line="240" w:lineRule="auto"/>
        <w:ind w:left="426" w:right="0" w:firstLine="0"/>
      </w:pPr>
      <w:r w:rsidRPr="00C85268">
        <w:t xml:space="preserve">SR v záujme čo najskoršieho schválenia </w:t>
      </w:r>
      <w:r w:rsidR="00A2235B">
        <w:t xml:space="preserve">návrhu </w:t>
      </w:r>
      <w:r w:rsidRPr="00C85268">
        <w:t xml:space="preserve">smernice podporuje </w:t>
      </w:r>
      <w:r w:rsidR="00A2235B">
        <w:t xml:space="preserve">jej </w:t>
      </w:r>
      <w:r w:rsidRPr="00C85268">
        <w:t>ciele týkajúce sa</w:t>
      </w:r>
      <w:r>
        <w:t xml:space="preserve"> posunu lehôt na plnenie určitých </w:t>
      </w:r>
      <w:r w:rsidR="001B23E0">
        <w:t>požiadaviek,</w:t>
      </w:r>
      <w:r w:rsidR="00A2235B">
        <w:t xml:space="preserve"> ktoré </w:t>
      </w:r>
      <w:r>
        <w:t>vyplývajú</w:t>
      </w:r>
      <w:r w:rsidR="00A2235B">
        <w:t xml:space="preserve"> zo</w:t>
      </w:r>
      <w:r w:rsidR="00B83F60">
        <w:t xml:space="preserve"> </w:t>
      </w:r>
      <w:r w:rsidR="00F34021">
        <w:t>smernice CSRD.</w:t>
      </w:r>
      <w:r w:rsidR="00070B68">
        <w:t xml:space="preserve"> </w:t>
      </w:r>
      <w:r w:rsidR="003D26B6">
        <w:br/>
      </w:r>
      <w:r w:rsidR="00070B68" w:rsidRPr="00B36C3B">
        <w:t>Pri smernici CSDDD by SR uvítala posun o dva roky.</w:t>
      </w:r>
    </w:p>
    <w:p w14:paraId="7F452D67" w14:textId="77777777" w:rsidR="000803DB" w:rsidRDefault="000803DB" w:rsidP="002E7115">
      <w:pPr>
        <w:spacing w:after="0" w:line="240" w:lineRule="auto"/>
        <w:ind w:left="426" w:right="0" w:firstLine="0"/>
        <w:rPr>
          <w:szCs w:val="24"/>
          <w:u w:val="single"/>
        </w:rPr>
      </w:pPr>
    </w:p>
    <w:p w14:paraId="1BEBBEE2" w14:textId="77777777" w:rsidR="009C2177" w:rsidRPr="00A2235B" w:rsidRDefault="00B35497" w:rsidP="002E7115">
      <w:pPr>
        <w:spacing w:after="0" w:line="240" w:lineRule="auto"/>
        <w:ind w:left="426" w:right="0" w:firstLine="0"/>
        <w:rPr>
          <w:szCs w:val="24"/>
          <w:u w:val="single"/>
        </w:rPr>
      </w:pPr>
      <w:r w:rsidRPr="00A2235B">
        <w:rPr>
          <w:szCs w:val="24"/>
          <w:u w:val="single"/>
        </w:rPr>
        <w:t>K návrhu smernice</w:t>
      </w:r>
      <w:r w:rsidR="00A2235B" w:rsidRPr="00A2235B">
        <w:rPr>
          <w:szCs w:val="24"/>
          <w:u w:val="single"/>
        </w:rPr>
        <w:t xml:space="preserve"> týkajúceho sa smernice</w:t>
      </w:r>
      <w:r w:rsidR="00B83F60" w:rsidRPr="00A2235B">
        <w:rPr>
          <w:szCs w:val="24"/>
          <w:u w:val="single"/>
        </w:rPr>
        <w:t xml:space="preserve"> CSRD</w:t>
      </w:r>
      <w:r w:rsidRPr="00A2235B">
        <w:rPr>
          <w:szCs w:val="24"/>
          <w:u w:val="single"/>
        </w:rPr>
        <w:t>:</w:t>
      </w:r>
    </w:p>
    <w:p w14:paraId="3E069E52" w14:textId="77777777" w:rsidR="009C2177" w:rsidRDefault="009C2177" w:rsidP="00C921CD">
      <w:pPr>
        <w:spacing w:after="0" w:line="240" w:lineRule="auto"/>
        <w:ind w:left="426" w:right="0" w:firstLine="0"/>
        <w:rPr>
          <w:szCs w:val="24"/>
        </w:rPr>
      </w:pPr>
      <w:r>
        <w:rPr>
          <w:szCs w:val="24"/>
        </w:rPr>
        <w:t>Z</w:t>
      </w:r>
      <w:r w:rsidRPr="009C2177">
        <w:rPr>
          <w:szCs w:val="24"/>
        </w:rPr>
        <w:t xml:space="preserve"> komplexného hľadiska </w:t>
      </w:r>
      <w:r>
        <w:rPr>
          <w:szCs w:val="24"/>
        </w:rPr>
        <w:t xml:space="preserve">je </w:t>
      </w:r>
      <w:r w:rsidR="00B83F60">
        <w:rPr>
          <w:szCs w:val="24"/>
        </w:rPr>
        <w:t xml:space="preserve">potrebné </w:t>
      </w:r>
      <w:r w:rsidRPr="009C2177">
        <w:rPr>
          <w:szCs w:val="24"/>
        </w:rPr>
        <w:t xml:space="preserve">v rámci rokovaní </w:t>
      </w:r>
      <w:r w:rsidR="00B83F60">
        <w:rPr>
          <w:szCs w:val="24"/>
        </w:rPr>
        <w:t xml:space="preserve">zdôrazňovať potrebu zachovania rovnakých pravidiel v rámci EÚ a to najmä v nadväznosti na ďalší </w:t>
      </w:r>
      <w:r w:rsidR="00DE31F8">
        <w:rPr>
          <w:szCs w:val="24"/>
        </w:rPr>
        <w:t xml:space="preserve">súbežne predložený </w:t>
      </w:r>
      <w:r w:rsidR="00B83F60">
        <w:rPr>
          <w:szCs w:val="24"/>
        </w:rPr>
        <w:t>legislatívny návrh týkajúci sa podrobnejších úprav smernice CSRD</w:t>
      </w:r>
      <w:r w:rsidR="00630426">
        <w:rPr>
          <w:szCs w:val="24"/>
        </w:rPr>
        <w:t xml:space="preserve"> vrátane rozsahu vykazujúcich podnikov</w:t>
      </w:r>
      <w:r w:rsidR="00B83F60">
        <w:rPr>
          <w:szCs w:val="24"/>
        </w:rPr>
        <w:t>, keďže oba návrhy sú v konečnom dôsledku úzko prepojené.</w:t>
      </w:r>
    </w:p>
    <w:p w14:paraId="1EF48ECD" w14:textId="77777777" w:rsidR="00070B68" w:rsidRDefault="00070B68" w:rsidP="00C921CD">
      <w:pPr>
        <w:spacing w:after="0" w:line="240" w:lineRule="auto"/>
        <w:ind w:left="426" w:right="0" w:firstLine="0"/>
        <w:rPr>
          <w:szCs w:val="24"/>
        </w:rPr>
      </w:pPr>
    </w:p>
    <w:p w14:paraId="27170E3D" w14:textId="77777777" w:rsidR="00AC3B87" w:rsidRDefault="00AC3B87" w:rsidP="00C921CD">
      <w:pPr>
        <w:spacing w:after="0" w:line="240" w:lineRule="auto"/>
        <w:ind w:left="426" w:right="0" w:firstLine="0"/>
        <w:rPr>
          <w:szCs w:val="24"/>
        </w:rPr>
      </w:pPr>
    </w:p>
    <w:p w14:paraId="3A8A03BE" w14:textId="77777777" w:rsidR="00AC3B87" w:rsidRDefault="00AC3B87" w:rsidP="00C921CD">
      <w:pPr>
        <w:spacing w:after="0" w:line="240" w:lineRule="auto"/>
        <w:ind w:left="426" w:right="0" w:firstLine="0"/>
        <w:rPr>
          <w:szCs w:val="24"/>
        </w:rPr>
      </w:pPr>
    </w:p>
    <w:p w14:paraId="5BBE51BC" w14:textId="77777777" w:rsidR="00070B68" w:rsidRDefault="00070B68" w:rsidP="00C921CD">
      <w:pPr>
        <w:spacing w:after="0" w:line="240" w:lineRule="auto"/>
        <w:ind w:left="426" w:right="0" w:firstLine="0"/>
        <w:rPr>
          <w:szCs w:val="24"/>
          <w:u w:val="single"/>
        </w:rPr>
      </w:pPr>
      <w:r w:rsidRPr="00F160C7">
        <w:rPr>
          <w:szCs w:val="24"/>
          <w:u w:val="single"/>
        </w:rPr>
        <w:lastRenderedPageBreak/>
        <w:t>K návrhu smernice týkajúceho sa smernice CSDDD:</w:t>
      </w:r>
    </w:p>
    <w:p w14:paraId="2F527E9A" w14:textId="77777777" w:rsidR="00070B68" w:rsidRPr="00070B68" w:rsidRDefault="00070B68" w:rsidP="00C921CD">
      <w:pPr>
        <w:spacing w:after="0" w:line="240" w:lineRule="auto"/>
        <w:ind w:left="426" w:right="0" w:firstLine="0"/>
        <w:rPr>
          <w:szCs w:val="24"/>
        </w:rPr>
      </w:pPr>
      <w:r w:rsidRPr="00B36C3B">
        <w:rPr>
          <w:szCs w:val="24"/>
        </w:rPr>
        <w:t xml:space="preserve">V časti posunu termínu transpozície smernice CSDDD pre členské štáty </w:t>
      </w:r>
      <w:r w:rsidR="00C84800">
        <w:rPr>
          <w:szCs w:val="24"/>
        </w:rPr>
        <w:t xml:space="preserve">bude snahou SR dosiahnuť </w:t>
      </w:r>
      <w:r w:rsidRPr="00B36C3B">
        <w:rPr>
          <w:szCs w:val="24"/>
        </w:rPr>
        <w:t>posun o 2 roky. S</w:t>
      </w:r>
      <w:r w:rsidR="00C84800">
        <w:rPr>
          <w:szCs w:val="24"/>
        </w:rPr>
        <w:t>R</w:t>
      </w:r>
      <w:r w:rsidRPr="00B36C3B">
        <w:rPr>
          <w:szCs w:val="24"/>
        </w:rPr>
        <w:t xml:space="preserve"> vo vzťahu k smernici CSDDD začala vykonávať kroky smerujúce k jej transpozícií, avšak v záujme pripraviť kvalitný zákon a najmä dostatočne pripraviť podnikateľské prostredie na dodržiavanie nových, rozsiahlych povinností,</w:t>
      </w:r>
      <w:r w:rsidR="00C84800">
        <w:rPr>
          <w:szCs w:val="24"/>
        </w:rPr>
        <w:t xml:space="preserve"> by bol adekvátnejší</w:t>
      </w:r>
      <w:r w:rsidRPr="00B36C3B">
        <w:rPr>
          <w:szCs w:val="24"/>
        </w:rPr>
        <w:t> dlhší odklad pre transpozíciu (2 roky), ako aj pre začatie uplatňovania smernice. Dlhší odklad by umožnil premyslenú, kvalitnejšiu prípravu tak revízie smernice na úrovni EÚ, ako aj kvalitnejšiu, transparentnejšiu a lepšie pripravenú transpozíciu</w:t>
      </w:r>
      <w:r w:rsidR="00AC3B87">
        <w:rPr>
          <w:szCs w:val="24"/>
        </w:rPr>
        <w:br/>
      </w:r>
      <w:r w:rsidRPr="00B36C3B">
        <w:rPr>
          <w:szCs w:val="24"/>
        </w:rPr>
        <w:t>v členských štátoch.</w:t>
      </w:r>
    </w:p>
    <w:p w14:paraId="0ACFA39A" w14:textId="77777777" w:rsidR="007978AE" w:rsidRDefault="007978AE" w:rsidP="00C921CD">
      <w:pPr>
        <w:spacing w:after="0" w:line="240" w:lineRule="auto"/>
        <w:ind w:left="426" w:right="0" w:firstLine="0"/>
        <w:rPr>
          <w:szCs w:val="24"/>
        </w:rPr>
      </w:pPr>
    </w:p>
    <w:p w14:paraId="5AC413A0" w14:textId="77777777" w:rsidR="00CD406F" w:rsidRDefault="007D5844" w:rsidP="003018E0">
      <w:pPr>
        <w:spacing w:after="0" w:line="240" w:lineRule="auto"/>
        <w:ind w:left="0" w:right="0" w:firstLine="0"/>
        <w:jc w:val="left"/>
      </w:pPr>
      <w:r>
        <w:t xml:space="preserve"> </w:t>
      </w:r>
      <w:r w:rsidR="00BD5E9B">
        <w:rPr>
          <w:u w:val="single" w:color="000000"/>
        </w:rPr>
        <w:t>III. VPLYVY NA VYBRANÉ OBLASTI</w:t>
      </w:r>
      <w:r w:rsidR="00BD5E9B">
        <w:t xml:space="preserve"> </w:t>
      </w:r>
    </w:p>
    <w:p w14:paraId="2F31C24F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78" w:type="dxa"/>
        <w:tblInd w:w="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808"/>
        <w:gridCol w:w="651"/>
        <w:gridCol w:w="1388"/>
        <w:gridCol w:w="463"/>
        <w:gridCol w:w="1213"/>
        <w:gridCol w:w="502"/>
        <w:gridCol w:w="1153"/>
      </w:tblGrid>
      <w:tr w:rsidR="00CD406F" w14:paraId="5836EF21" w14:textId="77777777" w:rsidTr="00C85268">
        <w:trPr>
          <w:trHeight w:val="292"/>
        </w:trPr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2E2"/>
          </w:tcPr>
          <w:p w14:paraId="22F81ABB" w14:textId="77777777" w:rsidR="00CD406F" w:rsidRDefault="00BD5E9B" w:rsidP="000C256C">
            <w:pPr>
              <w:spacing w:after="0" w:line="240" w:lineRule="auto"/>
              <w:ind w:left="175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Vybrané vplyvy</w:t>
            </w:r>
            <w:r w:rsidR="007D5844">
              <w:rPr>
                <w:b/>
              </w:rPr>
              <w:t xml:space="preserve"> </w:t>
            </w:r>
            <w:r>
              <w:rPr>
                <w:b/>
              </w:rPr>
              <w:t xml:space="preserve">materiálu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23263D18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0D028E4D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3619C583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15BB0C82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43DB8981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C85268" w14:paraId="3C1F0344" w14:textId="77777777" w:rsidTr="00C85268">
        <w:trPr>
          <w:trHeight w:val="276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4E80B9F3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rozpočet verejnej správy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3B6A8DDF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01D181C0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5D6B5F24" w14:textId="77777777" w:rsidR="00C85268" w:rsidRPr="0059242C" w:rsidRDefault="00305931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1957430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68"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C85268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7B2DD15A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27C56268" w14:textId="77777777" w:rsidR="00C85268" w:rsidRPr="0059242C" w:rsidRDefault="00305931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3656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68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85268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5A5CFB3C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85268" w14:paraId="1CC75DDF" w14:textId="77777777" w:rsidTr="00C85268">
        <w:trPr>
          <w:trHeight w:val="701"/>
        </w:trPr>
        <w:tc>
          <w:tcPr>
            <w:tcW w:w="3808" w:type="dxa"/>
            <w:tcBorders>
              <w:top w:val="single" w:sz="4" w:space="0" w:color="E2E2E2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0CCD12B6" w14:textId="77777777" w:rsidR="00C85268" w:rsidRDefault="00C85268" w:rsidP="00C85268">
            <w:pPr>
              <w:spacing w:after="0" w:line="240" w:lineRule="auto"/>
              <w:ind w:left="340" w:right="0" w:firstLine="0"/>
              <w:jc w:val="left"/>
            </w:pPr>
            <w:r>
              <w:rPr>
                <w:sz w:val="20"/>
              </w:rPr>
              <w:t>z toho rozpočtovo zabezpečené vplyvy,</w:t>
            </w:r>
            <w:r w:rsidR="00C43561">
              <w:rPr>
                <w:sz w:val="20"/>
              </w:rPr>
              <w:t xml:space="preserve">   </w:t>
            </w:r>
            <w:r>
              <w:rPr>
                <w:sz w:val="20"/>
              </w:rPr>
              <w:t>v prípade identifikovaného negatívneho</w:t>
            </w:r>
            <w:r w:rsidR="00C43561">
              <w:rPr>
                <w:sz w:val="20"/>
              </w:rPr>
              <w:t xml:space="preserve"> </w:t>
            </w:r>
            <w:r w:rsidR="007D584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vplyvu </w:t>
            </w:r>
          </w:p>
        </w:tc>
        <w:tc>
          <w:tcPr>
            <w:tcW w:w="6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32537CC7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47E69BA9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Áno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74750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dashed" w:sz="4" w:space="0" w:color="000000"/>
                  <w:left w:val="nil"/>
                  <w:bottom w:val="dashed" w:sz="4" w:space="0" w:color="000000"/>
                  <w:right w:val="nil"/>
                </w:tcBorders>
                <w:vAlign w:val="center"/>
              </w:tcPr>
              <w:p w14:paraId="74EE732A" w14:textId="77777777" w:rsidR="00C85268" w:rsidRPr="0059242C" w:rsidRDefault="00C85268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7AC50B1D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Nie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74485749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16498030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Čiastočne </w:t>
            </w:r>
          </w:p>
        </w:tc>
      </w:tr>
      <w:tr w:rsidR="00C85268" w14:paraId="209EE2BC" w14:textId="77777777" w:rsidTr="00C85268">
        <w:trPr>
          <w:trHeight w:val="469"/>
        </w:trPr>
        <w:tc>
          <w:tcPr>
            <w:tcW w:w="3808" w:type="dxa"/>
            <w:tcBorders>
              <w:top w:val="single" w:sz="4" w:space="0" w:color="E2E2E2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276902D7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 tom vplyvy na rozpočty obcí a vyšších územných celkov </w:t>
            </w:r>
          </w:p>
        </w:tc>
        <w:tc>
          <w:tcPr>
            <w:tcW w:w="6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029EA8E2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1BC1911D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5597133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dashed" w:sz="4" w:space="0" w:color="000000"/>
                  <w:left w:val="nil"/>
                  <w:bottom w:val="dashed" w:sz="4" w:space="0" w:color="000000"/>
                  <w:right w:val="nil"/>
                </w:tcBorders>
              </w:tcPr>
              <w:p w14:paraId="6BE8C30D" w14:textId="77777777" w:rsidR="00C85268" w:rsidRPr="0059242C" w:rsidRDefault="00C85268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5B8FBF6F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4AFECF3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5C220822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85268" w14:paraId="1D72AA32" w14:textId="77777777" w:rsidTr="00C85268">
        <w:trPr>
          <w:trHeight w:val="700"/>
        </w:trPr>
        <w:tc>
          <w:tcPr>
            <w:tcW w:w="3808" w:type="dxa"/>
            <w:tcBorders>
              <w:top w:val="single" w:sz="4" w:space="0" w:color="E2E2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0A6D0CBC" w14:textId="77777777" w:rsidR="00C85268" w:rsidRDefault="00C85268" w:rsidP="00C85268">
            <w:pPr>
              <w:spacing w:after="0" w:line="240" w:lineRule="auto"/>
              <w:ind w:left="278" w:right="220" w:firstLine="0"/>
              <w:jc w:val="left"/>
            </w:pPr>
            <w:r>
              <w:rPr>
                <w:sz w:val="20"/>
              </w:rPr>
              <w:t xml:space="preserve">z toho rozpočtovo zabezpečené vplyvy, v prípade identifikovaného negatívneho vplyvu </w:t>
            </w:r>
          </w:p>
        </w:tc>
        <w:tc>
          <w:tcPr>
            <w:tcW w:w="6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E31E3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1C7DAD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Áno </w:t>
            </w:r>
          </w:p>
        </w:tc>
        <w:tc>
          <w:tcPr>
            <w:tcW w:w="46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0E0FC5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7FBBB4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Nie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50B8A4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833A8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Čiastočne </w:t>
            </w:r>
          </w:p>
        </w:tc>
      </w:tr>
      <w:tr w:rsidR="00C85268" w14:paraId="328C222D" w14:textId="77777777" w:rsidTr="00C85268">
        <w:trPr>
          <w:trHeight w:val="701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52F804DF" w14:textId="77777777" w:rsidR="00C85268" w:rsidRDefault="00C85268" w:rsidP="00C85268">
            <w:pPr>
              <w:spacing w:after="0" w:line="240" w:lineRule="auto"/>
              <w:ind w:left="278" w:right="67" w:firstLine="0"/>
              <w:jc w:val="left"/>
            </w:pPr>
            <w:r>
              <w:rPr>
                <w:sz w:val="20"/>
              </w:rPr>
              <w:t xml:space="preserve">Vplyv na dlhodobú udržateľnosť verejných financií v prípade vybraných opatrení ***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FCE82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020F7F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Áno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192C71" w14:textId="77777777" w:rsidR="00C85268" w:rsidRPr="0059242C" w:rsidRDefault="00C85268" w:rsidP="00C85268">
            <w:pPr>
              <w:spacing w:after="0" w:line="240" w:lineRule="auto"/>
              <w:ind w:left="86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CAB275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2D1051" w14:textId="77777777" w:rsidR="00C85268" w:rsidRPr="0059242C" w:rsidRDefault="00305931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104795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68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85268"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7B6CA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Nie </w:t>
            </w:r>
          </w:p>
        </w:tc>
      </w:tr>
      <w:tr w:rsidR="00C85268" w14:paraId="60B65041" w14:textId="77777777" w:rsidTr="00C85268">
        <w:trPr>
          <w:trHeight w:val="277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4507D411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limit verejných výdavkov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F6119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1CDC83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>Pozitívne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448507" w14:textId="77777777" w:rsidR="00C85268" w:rsidRPr="0059242C" w:rsidRDefault="00305931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985477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68"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C85268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B0258D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>Žiadne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9D5B0E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AF0D8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>Negatívne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</w:tr>
      <w:tr w:rsidR="00C85268" w14:paraId="70BFE101" w14:textId="77777777" w:rsidTr="00C85268">
        <w:trPr>
          <w:trHeight w:val="276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4D31B9E2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podnikateľské prostredie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07B4FF01" w14:textId="77777777" w:rsidR="00C85268" w:rsidRPr="0059242C" w:rsidRDefault="00305931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116408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CD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85268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45A76C0E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42E932BF" w14:textId="77777777" w:rsidR="00C85268" w:rsidRPr="0059242C" w:rsidRDefault="00305931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1512485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CD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074CA52D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7764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4" w:space="0" w:color="000000"/>
                  <w:left w:val="nil"/>
                  <w:bottom w:val="dashed" w:sz="4" w:space="0" w:color="000000"/>
                  <w:right w:val="nil"/>
                </w:tcBorders>
              </w:tcPr>
              <w:p w14:paraId="22697662" w14:textId="77777777" w:rsidR="00C85268" w:rsidRPr="0059242C" w:rsidRDefault="00AF220B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42EF4892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85268" w14:paraId="64CFD377" w14:textId="77777777" w:rsidTr="00C85268">
        <w:trPr>
          <w:trHeight w:val="469"/>
        </w:trPr>
        <w:tc>
          <w:tcPr>
            <w:tcW w:w="3808" w:type="dxa"/>
            <w:tcBorders>
              <w:top w:val="single" w:sz="4" w:space="0" w:color="E2E2E2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0C27C6A6" w14:textId="77777777" w:rsidR="00C85268" w:rsidRDefault="00C43561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C85268">
              <w:rPr>
                <w:sz w:val="20"/>
              </w:rPr>
              <w:t xml:space="preserve">z toho vplyvy na MSP </w:t>
            </w:r>
          </w:p>
          <w:p w14:paraId="6CFC7557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2C2E7CCC" w14:textId="77777777" w:rsidR="00C85268" w:rsidRPr="0059242C" w:rsidRDefault="00305931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12039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20B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85268"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0E76710F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70DC02D8" w14:textId="77777777" w:rsidR="00C85268" w:rsidRPr="0059242C" w:rsidRDefault="00305931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865107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3F9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C85268"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436613BA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3E0F98C4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77647B01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Negatívne </w:t>
            </w:r>
          </w:p>
        </w:tc>
      </w:tr>
      <w:tr w:rsidR="00C85268" w14:paraId="2041F734" w14:textId="77777777" w:rsidTr="00C85268">
        <w:trPr>
          <w:trHeight w:val="469"/>
        </w:trPr>
        <w:tc>
          <w:tcPr>
            <w:tcW w:w="3808" w:type="dxa"/>
            <w:tcBorders>
              <w:top w:val="single" w:sz="4" w:space="0" w:color="E2E2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13F0710C" w14:textId="77777777" w:rsidR="00C85268" w:rsidRDefault="00C85268" w:rsidP="00C85268">
            <w:pPr>
              <w:spacing w:after="0" w:line="240" w:lineRule="auto"/>
              <w:ind w:left="340" w:right="219" w:firstLine="0"/>
              <w:jc w:val="left"/>
            </w:pPr>
            <w:r>
              <w:rPr>
                <w:sz w:val="20"/>
              </w:rPr>
              <w:t>Mechanizmus znižovania byrokracie</w:t>
            </w:r>
            <w:r w:rsidR="00C43561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a nákladov sa uplatňuje: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D93A8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8653A6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Áno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43C2F2" w14:textId="77777777" w:rsidR="00C85268" w:rsidRPr="0059242C" w:rsidRDefault="00C85268" w:rsidP="00C85268">
            <w:pPr>
              <w:spacing w:after="0" w:line="240" w:lineRule="auto"/>
              <w:ind w:left="43" w:right="0" w:firstLine="0"/>
              <w:jc w:val="center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9AAE3B" w14:textId="77777777" w:rsidR="00C85268" w:rsidRPr="0059242C" w:rsidRDefault="00C85268" w:rsidP="00C85268">
            <w:pPr>
              <w:spacing w:after="0" w:line="240" w:lineRule="auto"/>
              <w:ind w:left="458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1288499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dashed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341AF1FD" w14:textId="77777777" w:rsidR="00C85268" w:rsidRPr="0059242C" w:rsidRDefault="00C85268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53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2479D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Nie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C85268" w14:paraId="0672506E" w14:textId="77777777" w:rsidTr="00C85268">
        <w:trPr>
          <w:trHeight w:val="276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1DB53CF7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Sociálne vplyvy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0969D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CED86E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3183182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  <w:p w14:paraId="4E51D42B" w14:textId="77777777" w:rsidR="00C85268" w:rsidRPr="0059242C" w:rsidRDefault="00C85268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455827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53A489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C09D7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85268" w14:paraId="3C806194" w14:textId="77777777" w:rsidTr="00C85268">
        <w:trPr>
          <w:trHeight w:val="276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6A843ED6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životné prostredie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B7E64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DCBCB0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50205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  <w:p w14:paraId="2B3F773E" w14:textId="77777777" w:rsidR="00C85268" w:rsidRPr="0059242C" w:rsidRDefault="00C85268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CE4E0E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954255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E8926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85268" w14:paraId="408930C3" w14:textId="77777777" w:rsidTr="00C85268">
        <w:trPr>
          <w:trHeight w:val="1391"/>
        </w:trPr>
        <w:tc>
          <w:tcPr>
            <w:tcW w:w="3808" w:type="dxa"/>
            <w:tcBorders>
              <w:top w:val="single" w:sz="4" w:space="0" w:color="E2E2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42C3E63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622AB7" w14:textId="77777777" w:rsidR="00C85268" w:rsidRDefault="00C85268" w:rsidP="00C85268">
            <w:pPr>
              <w:spacing w:after="0" w:line="240" w:lineRule="auto"/>
              <w:ind w:left="271" w:right="0" w:firstLine="0"/>
              <w:jc w:val="left"/>
            </w:pPr>
            <w:r>
              <w:rPr>
                <w:sz w:val="20"/>
              </w:rPr>
              <w:t>Materiál je posudzovaný podľa zákona č. 24/2006 Z. z. o posudzovaní vplyvov na životné prostredie a o zmene a doplnení niektorých zákonov v znení neskorších predpisov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D84A5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A6A9CC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Áno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CCDA9D" w14:textId="77777777" w:rsidR="00C85268" w:rsidRPr="0059242C" w:rsidRDefault="00C85268" w:rsidP="00C85268">
            <w:pPr>
              <w:spacing w:after="0" w:line="240" w:lineRule="auto"/>
              <w:ind w:left="86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EB9B44" w14:textId="77777777" w:rsidR="00C85268" w:rsidRPr="0059242C" w:rsidRDefault="00C85268" w:rsidP="00C85268">
            <w:pPr>
              <w:spacing w:after="0" w:line="240" w:lineRule="auto"/>
              <w:ind w:left="458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82610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6CB05E8F" w14:textId="77777777" w:rsidR="00C85268" w:rsidRPr="0059242C" w:rsidRDefault="00E14728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89281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Nie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C85268" w14:paraId="6D4FBFFC" w14:textId="77777777" w:rsidTr="00C85268">
        <w:trPr>
          <w:trHeight w:val="281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2E2"/>
          </w:tcPr>
          <w:p w14:paraId="6A2070C5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informatizáciu spoločnosti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9931DCA" w14:textId="77777777" w:rsidR="00C85268" w:rsidRPr="0059242C" w:rsidRDefault="00305931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21262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268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85268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1BEAC1A0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sdt>
            <w:sdtPr>
              <w:rPr>
                <w:b/>
                <w:color w:val="auto"/>
                <w:sz w:val="20"/>
                <w:szCs w:val="20"/>
              </w:rPr>
              <w:id w:val="-21099562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2D8B1" w14:textId="77777777" w:rsidR="00C85268" w:rsidRDefault="00C85268" w:rsidP="00C85268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sdtContent>
          </w:sdt>
          <w:p w14:paraId="260FAF4E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42C5153C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1DCC66BB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58DD5CC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85268" w14:paraId="11C4B6C2" w14:textId="77777777" w:rsidTr="00C85268">
        <w:trPr>
          <w:trHeight w:val="935"/>
        </w:trPr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27850E53" w14:textId="77777777" w:rsidR="00C85268" w:rsidRDefault="00C85268" w:rsidP="00C85268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služby verejnej správy pre občana, z toho </w:t>
            </w:r>
          </w:p>
          <w:p w14:paraId="36834FA8" w14:textId="77777777" w:rsidR="00C85268" w:rsidRDefault="00C43561" w:rsidP="00C85268">
            <w:pPr>
              <w:spacing w:after="0" w:line="240" w:lineRule="auto"/>
              <w:ind w:left="305" w:right="0" w:hanging="197"/>
              <w:jc w:val="left"/>
            </w:pPr>
            <w:r>
              <w:rPr>
                <w:b/>
                <w:sz w:val="20"/>
              </w:rPr>
              <w:t xml:space="preserve"> </w:t>
            </w:r>
            <w:r w:rsidR="00C85268">
              <w:rPr>
                <w:b/>
                <w:sz w:val="20"/>
              </w:rPr>
              <w:t xml:space="preserve">vplyvy služieb verejnej správy na občana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6693C123" w14:textId="77777777" w:rsidR="00C85268" w:rsidRPr="0059242C" w:rsidRDefault="00C85268" w:rsidP="00C85268">
            <w:pPr>
              <w:spacing w:after="0" w:line="240" w:lineRule="auto"/>
              <w:ind w:left="0" w:right="58" w:firstLine="0"/>
              <w:jc w:val="center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4D654523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411A3F5C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26FD78A0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6509618C" w14:textId="77777777" w:rsidR="00C85268" w:rsidRPr="0059242C" w:rsidRDefault="00C85268" w:rsidP="00C85268">
            <w:pPr>
              <w:spacing w:after="0" w:line="240" w:lineRule="auto"/>
              <w:ind w:left="7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sdt>
            <w:sdtPr>
              <w:rPr>
                <w:b/>
                <w:color w:val="auto"/>
                <w:sz w:val="20"/>
                <w:szCs w:val="20"/>
              </w:rPr>
              <w:id w:val="-8101733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02661" w14:textId="77777777" w:rsidR="00C85268" w:rsidRPr="0059242C" w:rsidRDefault="00C85268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213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1EFD2E02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71DAC33D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7080E40F" w14:textId="77777777" w:rsidR="00C85268" w:rsidRPr="0059242C" w:rsidRDefault="00C85268" w:rsidP="00C85268">
            <w:pPr>
              <w:spacing w:after="0" w:line="240" w:lineRule="auto"/>
              <w:ind w:left="86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1BB9F8AE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4885EDF9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55073D3A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85268" w14:paraId="735A7E25" w14:textId="77777777" w:rsidTr="00C85268">
        <w:trPr>
          <w:trHeight w:val="475"/>
        </w:trPr>
        <w:tc>
          <w:tcPr>
            <w:tcW w:w="3808" w:type="dxa"/>
            <w:tcBorders>
              <w:top w:val="single" w:sz="4" w:space="0" w:color="E2E2E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2E2"/>
          </w:tcPr>
          <w:p w14:paraId="42A3FE67" w14:textId="77777777" w:rsidR="00C85268" w:rsidRDefault="00C43561" w:rsidP="00C85268">
            <w:pPr>
              <w:spacing w:after="0" w:line="240" w:lineRule="auto"/>
              <w:ind w:left="276" w:right="0" w:hanging="168"/>
              <w:jc w:val="left"/>
            </w:pPr>
            <w:r>
              <w:rPr>
                <w:b/>
                <w:sz w:val="20"/>
              </w:rPr>
              <w:t xml:space="preserve"> </w:t>
            </w:r>
            <w:r w:rsidR="00C85268">
              <w:rPr>
                <w:b/>
                <w:sz w:val="20"/>
              </w:rPr>
              <w:t xml:space="preserve">vplyvy na procesy služieb vo verejnej správe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109686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tcBorders>
                  <w:top w:val="dashed" w:sz="4" w:space="0" w:color="000000"/>
                  <w:left w:val="single" w:sz="4" w:space="0" w:color="000000"/>
                  <w:bottom w:val="single" w:sz="8" w:space="0" w:color="000000"/>
                  <w:right w:val="nil"/>
                </w:tcBorders>
                <w:vAlign w:val="center"/>
              </w:tcPr>
              <w:p w14:paraId="28638BAA" w14:textId="77777777" w:rsidR="00C85268" w:rsidRPr="0059242C" w:rsidRDefault="00C85268" w:rsidP="00C85268">
                <w:pPr>
                  <w:spacing w:after="0" w:line="240" w:lineRule="auto"/>
                  <w:ind w:left="185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F1AEDC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4769230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dashed" w:sz="4" w:space="0" w:color="000000"/>
                  <w:left w:val="nil"/>
                  <w:bottom w:val="single" w:sz="8" w:space="0" w:color="000000"/>
                  <w:right w:val="nil"/>
                </w:tcBorders>
                <w:vAlign w:val="center"/>
              </w:tcPr>
              <w:p w14:paraId="0BCDE6F2" w14:textId="77777777" w:rsidR="00C85268" w:rsidRPr="0059242C" w:rsidRDefault="00C85268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218E27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3576FDF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C6B81AB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85268" w14:paraId="5EC33A74" w14:textId="77777777" w:rsidTr="00C85268">
        <w:trPr>
          <w:trHeight w:val="474"/>
        </w:trPr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71A6498C" w14:textId="77777777" w:rsidR="00C85268" w:rsidRDefault="00C85268" w:rsidP="00C85268">
            <w:pPr>
              <w:spacing w:after="0" w:line="240" w:lineRule="auto"/>
              <w:ind w:left="108" w:right="585" w:firstLine="0"/>
              <w:jc w:val="left"/>
            </w:pPr>
            <w:r>
              <w:rPr>
                <w:b/>
                <w:sz w:val="20"/>
              </w:rPr>
              <w:t xml:space="preserve">Vplyvy na manželstvo, rodičovstvo a rodinu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086A9" w14:textId="77777777" w:rsidR="00C85268" w:rsidRPr="0059242C" w:rsidRDefault="00C85268" w:rsidP="00C85268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1AAC2D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1756125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8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F4C2FB0" w14:textId="77777777" w:rsidR="00C85268" w:rsidRPr="0059242C" w:rsidRDefault="00C85268" w:rsidP="00C85268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CE37CB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3F642E" w14:textId="77777777" w:rsidR="00C85268" w:rsidRPr="0059242C" w:rsidRDefault="00C85268" w:rsidP="00C8526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2EEE3" w14:textId="77777777" w:rsidR="00C85268" w:rsidRPr="0059242C" w:rsidRDefault="00C85268" w:rsidP="00C85268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</w:tbl>
    <w:p w14:paraId="02A652A1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1BC9FD6" w14:textId="77777777" w:rsidR="001B23E0" w:rsidRPr="009C2177" w:rsidRDefault="001B23E0" w:rsidP="001B23E0">
      <w:pPr>
        <w:spacing w:after="0" w:line="240" w:lineRule="auto"/>
        <w:ind w:left="77" w:right="0" w:firstLine="0"/>
      </w:pPr>
      <w:r w:rsidRPr="009C2177">
        <w:t>Návrh smernice nebude mať vplyv na</w:t>
      </w:r>
      <w:r w:rsidR="007D5844">
        <w:t xml:space="preserve"> </w:t>
      </w:r>
      <w:r>
        <w:t xml:space="preserve">rozpočet verejnej správy, limit verejných výdavkov, </w:t>
      </w:r>
      <w:r w:rsidR="006547CD">
        <w:br/>
      </w:r>
      <w:r>
        <w:t xml:space="preserve">na podnikateľské prostredie, </w:t>
      </w:r>
      <w:r w:rsidRPr="009C2177">
        <w:t>informatizáciu</w:t>
      </w:r>
      <w:r w:rsidR="006547CD">
        <w:t xml:space="preserve"> spoločnosti</w:t>
      </w:r>
      <w:r w:rsidRPr="009C2177">
        <w:t>, sociálne vplyvy a ani vplyvy na služby verejnej správy pre občana, či životné prostredie a manželstvo, rodičovstvo a rodinu.</w:t>
      </w:r>
    </w:p>
    <w:p w14:paraId="7C4CBB2B" w14:textId="77777777" w:rsidR="00BB1284" w:rsidRPr="00BB1284" w:rsidRDefault="006D0F34" w:rsidP="00BB1284">
      <w:pPr>
        <w:spacing w:after="0" w:line="240" w:lineRule="auto"/>
        <w:ind w:left="77" w:right="0" w:firstLine="0"/>
      </w:pPr>
      <w:r w:rsidRPr="00DE31F8">
        <w:rPr>
          <w:szCs w:val="24"/>
        </w:rPr>
        <w:lastRenderedPageBreak/>
        <w:t>Komisi</w:t>
      </w:r>
      <w:r w:rsidR="00630426">
        <w:rPr>
          <w:szCs w:val="24"/>
        </w:rPr>
        <w:t>a</w:t>
      </w:r>
      <w:r w:rsidRPr="00DE31F8">
        <w:rPr>
          <w:szCs w:val="24"/>
        </w:rPr>
        <w:t xml:space="preserve"> </w:t>
      </w:r>
      <w:r w:rsidR="00EC62A5">
        <w:rPr>
          <w:szCs w:val="24"/>
        </w:rPr>
        <w:t>v</w:t>
      </w:r>
      <w:r w:rsidR="00EC62A5" w:rsidRPr="00DE31F8">
        <w:rPr>
          <w:szCs w:val="24"/>
        </w:rPr>
        <w:t xml:space="preserve"> pracovnom dokumente </w:t>
      </w:r>
      <w:r w:rsidR="00921F3D">
        <w:rPr>
          <w:szCs w:val="24"/>
        </w:rPr>
        <w:t xml:space="preserve">k návrhu </w:t>
      </w:r>
      <w:r w:rsidR="0068687B">
        <w:rPr>
          <w:szCs w:val="24"/>
        </w:rPr>
        <w:t xml:space="preserve">smernice </w:t>
      </w:r>
      <w:r w:rsidR="00DE31F8" w:rsidRPr="00DE31F8">
        <w:rPr>
          <w:szCs w:val="24"/>
        </w:rPr>
        <w:t>konštatuje, že vzhľadom na naliehavú potrebu predloženia návrhu nebolo možné vypracovať úplné posúdenie vplyvu</w:t>
      </w:r>
      <w:r w:rsidR="0068687B">
        <w:rPr>
          <w:szCs w:val="24"/>
        </w:rPr>
        <w:t>, pričom vplyv na podniky súvisiaci s navrhovaným odkladom lehôt nebol kvantifikovaný</w:t>
      </w:r>
      <w:r w:rsidR="00DE31F8" w:rsidRPr="00DE31F8">
        <w:rPr>
          <w:szCs w:val="24"/>
        </w:rPr>
        <w:t>.</w:t>
      </w:r>
      <w:r w:rsidR="003133ED">
        <w:rPr>
          <w:szCs w:val="24"/>
        </w:rPr>
        <w:t xml:space="preserve"> V podmienkach SR sa </w:t>
      </w:r>
      <w:r w:rsidR="000803DB">
        <w:rPr>
          <w:szCs w:val="24"/>
        </w:rPr>
        <w:t xml:space="preserve">pri transpozícii smernice CSRD </w:t>
      </w:r>
      <w:r w:rsidR="003133ED">
        <w:rPr>
          <w:szCs w:val="24"/>
        </w:rPr>
        <w:t>odhad</w:t>
      </w:r>
      <w:r w:rsidR="000803DB">
        <w:rPr>
          <w:szCs w:val="24"/>
        </w:rPr>
        <w:t>oval</w:t>
      </w:r>
      <w:r w:rsidR="00630426">
        <w:rPr>
          <w:szCs w:val="24"/>
        </w:rPr>
        <w:t>o</w:t>
      </w:r>
      <w:r w:rsidR="000803DB">
        <w:rPr>
          <w:szCs w:val="24"/>
        </w:rPr>
        <w:t xml:space="preserve"> 830 účtovných jednotiek</w:t>
      </w:r>
      <w:r w:rsidR="00AC3B87">
        <w:rPr>
          <w:szCs w:val="24"/>
        </w:rPr>
        <w:t xml:space="preserve"> (obchodné spoločnosti)</w:t>
      </w:r>
      <w:r w:rsidR="000803DB">
        <w:rPr>
          <w:szCs w:val="24"/>
        </w:rPr>
        <w:t xml:space="preserve"> s povinnosťou vykazovania informácií o udržateľnosti vo výročnej práve v rámci druhej vlny a tretej vlny.</w:t>
      </w:r>
      <w:r w:rsidR="006547CD">
        <w:rPr>
          <w:szCs w:val="24"/>
        </w:rPr>
        <w:t xml:space="preserve"> </w:t>
      </w:r>
      <w:r w:rsidR="00BB1284" w:rsidRPr="002D688D">
        <w:t>V podmienkach SR pri transpozícii smernice CSDDD sa pripravuje podrobná analýza dotknutých subjektov, ktorá zahŕňa počty subjektov v jednotlivých etapách. V spojenej prvej a druhej etape sa odhaduje 12 dotknutých podnikateľských subjektov a</w:t>
      </w:r>
      <w:r w:rsidR="00C43561">
        <w:t xml:space="preserve"> </w:t>
      </w:r>
      <w:r w:rsidR="00BB1284" w:rsidRPr="002D688D">
        <w:t>tretej etape 23 podnikateľských subjektov, ktoré budú smernicou CSDDD priamo dotknuté a budú plniť povinnosti náležitej starostlivosti v oblasti udržateľnosti.</w:t>
      </w:r>
    </w:p>
    <w:p w14:paraId="26B55D14" w14:textId="77777777" w:rsidR="00CD406F" w:rsidRDefault="00CD406F" w:rsidP="000C256C">
      <w:pPr>
        <w:spacing w:after="0" w:line="240" w:lineRule="auto"/>
        <w:ind w:left="77" w:right="0" w:firstLine="0"/>
        <w:jc w:val="left"/>
      </w:pPr>
    </w:p>
    <w:sectPr w:rsidR="00CD406F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1425" w:right="1412" w:bottom="1417" w:left="134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11EC" w14:textId="77777777" w:rsidR="00BD6CF3" w:rsidRDefault="00BD6CF3">
      <w:pPr>
        <w:spacing w:after="0" w:line="240" w:lineRule="auto"/>
      </w:pPr>
      <w:r>
        <w:separator/>
      </w:r>
    </w:p>
  </w:endnote>
  <w:endnote w:type="continuationSeparator" w:id="0">
    <w:p w14:paraId="15B55387" w14:textId="77777777" w:rsidR="00BD6CF3" w:rsidRDefault="00B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74B4" w14:textId="77777777" w:rsidR="00DE31F8" w:rsidRDefault="00DE31F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86EEE9" w14:textId="77777777" w:rsidR="00DE31F8" w:rsidRDefault="00DE31F8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4F69" w14:textId="77777777" w:rsidR="00DE31F8" w:rsidRDefault="00DE31F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CF3">
      <w:rPr>
        <w:noProof/>
      </w:rPr>
      <w:t>1</w:t>
    </w:r>
    <w:r>
      <w:fldChar w:fldCharType="end"/>
    </w:r>
    <w:r>
      <w:t xml:space="preserve"> </w:t>
    </w:r>
  </w:p>
  <w:p w14:paraId="7C83411D" w14:textId="77777777" w:rsidR="00DE31F8" w:rsidRDefault="00DE31F8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784A" w14:textId="77777777" w:rsidR="00DE31F8" w:rsidRDefault="00DE31F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2C8319" w14:textId="77777777" w:rsidR="00DE31F8" w:rsidRDefault="00DE31F8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8AE0" w14:textId="77777777" w:rsidR="00BD6CF3" w:rsidRDefault="00BD6CF3">
      <w:pPr>
        <w:spacing w:after="0" w:line="286" w:lineRule="auto"/>
        <w:ind w:left="77" w:right="0" w:firstLine="0"/>
      </w:pPr>
      <w:r>
        <w:separator/>
      </w:r>
    </w:p>
  </w:footnote>
  <w:footnote w:type="continuationSeparator" w:id="0">
    <w:p w14:paraId="381F7FCA" w14:textId="77777777" w:rsidR="00BD6CF3" w:rsidRDefault="00BD6CF3">
      <w:pPr>
        <w:spacing w:after="0" w:line="286" w:lineRule="auto"/>
        <w:ind w:left="77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7E3B"/>
    <w:multiLevelType w:val="hybridMultilevel"/>
    <w:tmpl w:val="033A08C8"/>
    <w:lvl w:ilvl="0" w:tplc="38326902">
      <w:start w:val="7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ABA9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82DE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6B07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096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C198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8D6C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E711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8F8F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770CC"/>
    <w:multiLevelType w:val="hybridMultilevel"/>
    <w:tmpl w:val="10BA1BD4"/>
    <w:lvl w:ilvl="0" w:tplc="0486F46E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C1188">
      <w:start w:val="1"/>
      <w:numFmt w:val="lowerLetter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CC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0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CC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EF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E8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05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C6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12FE7"/>
    <w:multiLevelType w:val="hybridMultilevel"/>
    <w:tmpl w:val="013A6720"/>
    <w:lvl w:ilvl="0" w:tplc="B6929C98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8A9C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6A01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E285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A00D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A9A4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E547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CBB2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E170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B4056"/>
    <w:multiLevelType w:val="hybridMultilevel"/>
    <w:tmpl w:val="B0B480C8"/>
    <w:lvl w:ilvl="0" w:tplc="1CCE6C7A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05C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69F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63B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C17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56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432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41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2EF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EE5CC6"/>
    <w:multiLevelType w:val="hybridMultilevel"/>
    <w:tmpl w:val="1BE8075E"/>
    <w:lvl w:ilvl="0" w:tplc="5DF2A0E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75A"/>
    <w:multiLevelType w:val="hybridMultilevel"/>
    <w:tmpl w:val="4F9440CA"/>
    <w:lvl w:ilvl="0" w:tplc="D0F85E8E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80EDA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2B76A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6FD8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02F4E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43274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199A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8E300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0EF2C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B9625C"/>
    <w:multiLevelType w:val="hybridMultilevel"/>
    <w:tmpl w:val="51C20462"/>
    <w:lvl w:ilvl="0" w:tplc="7B10B436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A011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AD6F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4502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2CEFE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82D5E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67B9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AFD6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9580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44547E"/>
    <w:multiLevelType w:val="hybridMultilevel"/>
    <w:tmpl w:val="791CC930"/>
    <w:lvl w:ilvl="0" w:tplc="C2244FC8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ED5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092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A32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AE2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28C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4BA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661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8EF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8357C8"/>
    <w:multiLevelType w:val="hybridMultilevel"/>
    <w:tmpl w:val="C6842A14"/>
    <w:lvl w:ilvl="0" w:tplc="BC9A0964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AA2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8B6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65C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AAB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48B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7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6BE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77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A41C0"/>
    <w:multiLevelType w:val="hybridMultilevel"/>
    <w:tmpl w:val="54E2D626"/>
    <w:lvl w:ilvl="0" w:tplc="12D4BE52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E74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C92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EF9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71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634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0CA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30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006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561877"/>
    <w:multiLevelType w:val="hybridMultilevel"/>
    <w:tmpl w:val="7AEE689C"/>
    <w:lvl w:ilvl="0" w:tplc="9E04790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CCD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01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6A0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A9D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2B8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8F5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8F5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AF8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515DA5"/>
    <w:multiLevelType w:val="hybridMultilevel"/>
    <w:tmpl w:val="7FFEBB9E"/>
    <w:lvl w:ilvl="0" w:tplc="305CAEB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AB80">
      <w:start w:val="1"/>
      <w:numFmt w:val="lowerLetter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6E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87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4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0C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2F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6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A7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22067B"/>
    <w:multiLevelType w:val="hybridMultilevel"/>
    <w:tmpl w:val="BA8AB76A"/>
    <w:lvl w:ilvl="0" w:tplc="0182411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C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61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0CA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C74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646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4DF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25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A8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407FA2"/>
    <w:multiLevelType w:val="hybridMultilevel"/>
    <w:tmpl w:val="9F20F870"/>
    <w:lvl w:ilvl="0" w:tplc="9392ECD2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88B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AE9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A53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C9A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85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EE8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6EE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C82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E13DA9"/>
    <w:multiLevelType w:val="hybridMultilevel"/>
    <w:tmpl w:val="604C9EF6"/>
    <w:lvl w:ilvl="0" w:tplc="C2C455C0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6E2D2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C08D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E3FCC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4332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C0B8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4DD5E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CF4A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60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297823"/>
    <w:multiLevelType w:val="hybridMultilevel"/>
    <w:tmpl w:val="4F9440CA"/>
    <w:lvl w:ilvl="0" w:tplc="D0F85E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80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2B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6F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02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43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1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8E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0E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3D6179"/>
    <w:multiLevelType w:val="hybridMultilevel"/>
    <w:tmpl w:val="30963A76"/>
    <w:lvl w:ilvl="0" w:tplc="3B30F7BA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4D5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EC4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CB7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FD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EAB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8B2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A28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DE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241F58"/>
    <w:multiLevelType w:val="hybridMultilevel"/>
    <w:tmpl w:val="3C3A0DEC"/>
    <w:lvl w:ilvl="0" w:tplc="70F03E44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07C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D6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642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804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45D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CFF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69B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1784351">
    <w:abstractNumId w:val="2"/>
  </w:num>
  <w:num w:numId="2" w16cid:durableId="1140880611">
    <w:abstractNumId w:val="6"/>
  </w:num>
  <w:num w:numId="3" w16cid:durableId="1900245782">
    <w:abstractNumId w:val="14"/>
  </w:num>
  <w:num w:numId="4" w16cid:durableId="819805224">
    <w:abstractNumId w:val="0"/>
  </w:num>
  <w:num w:numId="5" w16cid:durableId="163782766">
    <w:abstractNumId w:val="13"/>
  </w:num>
  <w:num w:numId="6" w16cid:durableId="2026979063">
    <w:abstractNumId w:val="17"/>
  </w:num>
  <w:num w:numId="7" w16cid:durableId="105199482">
    <w:abstractNumId w:val="1"/>
  </w:num>
  <w:num w:numId="8" w16cid:durableId="1444961227">
    <w:abstractNumId w:val="9"/>
  </w:num>
  <w:num w:numId="9" w16cid:durableId="559635324">
    <w:abstractNumId w:val="8"/>
  </w:num>
  <w:num w:numId="10" w16cid:durableId="1152451025">
    <w:abstractNumId w:val="11"/>
  </w:num>
  <w:num w:numId="11" w16cid:durableId="2032684313">
    <w:abstractNumId w:val="10"/>
  </w:num>
  <w:num w:numId="12" w16cid:durableId="1755079557">
    <w:abstractNumId w:val="16"/>
  </w:num>
  <w:num w:numId="13" w16cid:durableId="1390615260">
    <w:abstractNumId w:val="12"/>
  </w:num>
  <w:num w:numId="14" w16cid:durableId="1878077493">
    <w:abstractNumId w:val="7"/>
  </w:num>
  <w:num w:numId="15" w16cid:durableId="2042778321">
    <w:abstractNumId w:val="3"/>
  </w:num>
  <w:num w:numId="16" w16cid:durableId="632566050">
    <w:abstractNumId w:val="15"/>
  </w:num>
  <w:num w:numId="17" w16cid:durableId="2067290364">
    <w:abstractNumId w:val="5"/>
  </w:num>
  <w:num w:numId="18" w16cid:durableId="1341660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6F"/>
    <w:rsid w:val="000243F9"/>
    <w:rsid w:val="00070B68"/>
    <w:rsid w:val="000803DB"/>
    <w:rsid w:val="000C256C"/>
    <w:rsid w:val="000D378E"/>
    <w:rsid w:val="000E4F83"/>
    <w:rsid w:val="001362E3"/>
    <w:rsid w:val="00197086"/>
    <w:rsid w:val="001A3A2E"/>
    <w:rsid w:val="001A5EF2"/>
    <w:rsid w:val="001A635A"/>
    <w:rsid w:val="001A755E"/>
    <w:rsid w:val="001B04FD"/>
    <w:rsid w:val="001B23E0"/>
    <w:rsid w:val="001B2935"/>
    <w:rsid w:val="00203C20"/>
    <w:rsid w:val="002102F9"/>
    <w:rsid w:val="002239F1"/>
    <w:rsid w:val="00243C62"/>
    <w:rsid w:val="00267002"/>
    <w:rsid w:val="002B5A01"/>
    <w:rsid w:val="002D1233"/>
    <w:rsid w:val="002D49A9"/>
    <w:rsid w:val="002D688D"/>
    <w:rsid w:val="002E0F89"/>
    <w:rsid w:val="002E7115"/>
    <w:rsid w:val="003018E0"/>
    <w:rsid w:val="00305931"/>
    <w:rsid w:val="003133ED"/>
    <w:rsid w:val="0034307D"/>
    <w:rsid w:val="00370C55"/>
    <w:rsid w:val="00383FE8"/>
    <w:rsid w:val="003A6B32"/>
    <w:rsid w:val="003D26B6"/>
    <w:rsid w:val="003F2C07"/>
    <w:rsid w:val="003F7698"/>
    <w:rsid w:val="003F7CDC"/>
    <w:rsid w:val="00436FDE"/>
    <w:rsid w:val="00483B79"/>
    <w:rsid w:val="004B77D6"/>
    <w:rsid w:val="004D529C"/>
    <w:rsid w:val="0059242C"/>
    <w:rsid w:val="005D4034"/>
    <w:rsid w:val="00630426"/>
    <w:rsid w:val="00635D41"/>
    <w:rsid w:val="00646A54"/>
    <w:rsid w:val="006547CD"/>
    <w:rsid w:val="0068687B"/>
    <w:rsid w:val="0069769D"/>
    <w:rsid w:val="00697F6A"/>
    <w:rsid w:val="006D0F34"/>
    <w:rsid w:val="0071089D"/>
    <w:rsid w:val="007166E5"/>
    <w:rsid w:val="00727938"/>
    <w:rsid w:val="007705B8"/>
    <w:rsid w:val="00776079"/>
    <w:rsid w:val="007978AE"/>
    <w:rsid w:val="007B1505"/>
    <w:rsid w:val="007B2B39"/>
    <w:rsid w:val="007B6F10"/>
    <w:rsid w:val="007C3036"/>
    <w:rsid w:val="007D5844"/>
    <w:rsid w:val="007E2A85"/>
    <w:rsid w:val="007F34F4"/>
    <w:rsid w:val="008158CA"/>
    <w:rsid w:val="008345B8"/>
    <w:rsid w:val="00855931"/>
    <w:rsid w:val="008E0DC3"/>
    <w:rsid w:val="008E0FD6"/>
    <w:rsid w:val="00921F3D"/>
    <w:rsid w:val="009235C9"/>
    <w:rsid w:val="009533B1"/>
    <w:rsid w:val="009857F3"/>
    <w:rsid w:val="00997FA7"/>
    <w:rsid w:val="009C2177"/>
    <w:rsid w:val="009C79D8"/>
    <w:rsid w:val="009E357D"/>
    <w:rsid w:val="00A11E87"/>
    <w:rsid w:val="00A2235B"/>
    <w:rsid w:val="00A32DCB"/>
    <w:rsid w:val="00A65D9D"/>
    <w:rsid w:val="00AC3B87"/>
    <w:rsid w:val="00AF220B"/>
    <w:rsid w:val="00B04BC8"/>
    <w:rsid w:val="00B22DE5"/>
    <w:rsid w:val="00B35497"/>
    <w:rsid w:val="00B36C3B"/>
    <w:rsid w:val="00B419D8"/>
    <w:rsid w:val="00B56A7A"/>
    <w:rsid w:val="00B83CFC"/>
    <w:rsid w:val="00B83F60"/>
    <w:rsid w:val="00BB1284"/>
    <w:rsid w:val="00BD5E9B"/>
    <w:rsid w:val="00BD6CF3"/>
    <w:rsid w:val="00C16228"/>
    <w:rsid w:val="00C43561"/>
    <w:rsid w:val="00C541C9"/>
    <w:rsid w:val="00C64BE9"/>
    <w:rsid w:val="00C84800"/>
    <w:rsid w:val="00C85268"/>
    <w:rsid w:val="00C921CD"/>
    <w:rsid w:val="00CA7681"/>
    <w:rsid w:val="00CD406F"/>
    <w:rsid w:val="00D14BD7"/>
    <w:rsid w:val="00D16B67"/>
    <w:rsid w:val="00D222B8"/>
    <w:rsid w:val="00D469A0"/>
    <w:rsid w:val="00D60406"/>
    <w:rsid w:val="00D72663"/>
    <w:rsid w:val="00D87FAC"/>
    <w:rsid w:val="00DB046F"/>
    <w:rsid w:val="00DE31F8"/>
    <w:rsid w:val="00DE3FCA"/>
    <w:rsid w:val="00DF56E2"/>
    <w:rsid w:val="00E14728"/>
    <w:rsid w:val="00E20DA1"/>
    <w:rsid w:val="00E3744D"/>
    <w:rsid w:val="00E7252E"/>
    <w:rsid w:val="00E824EA"/>
    <w:rsid w:val="00EB5BB0"/>
    <w:rsid w:val="00EB5FC8"/>
    <w:rsid w:val="00EC62A5"/>
    <w:rsid w:val="00EF3407"/>
    <w:rsid w:val="00F160C7"/>
    <w:rsid w:val="00F21978"/>
    <w:rsid w:val="00F34021"/>
    <w:rsid w:val="00F80667"/>
    <w:rsid w:val="00F95E06"/>
    <w:rsid w:val="00F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AE19"/>
  <w15:docId w15:val="{144D0AFB-5211-432B-9430-BEEFD44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2" w:line="267" w:lineRule="auto"/>
      <w:ind w:left="447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4" w:line="271" w:lineRule="auto"/>
      <w:ind w:left="3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82" w:lineRule="auto"/>
      <w:ind w:left="7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2E71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2E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FE8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aliases w:val="Odstavec_muj,Conclusion de partie,References,Odstavec se seznamem2,Nad,Odstavec cíl se seznamem,Odstavec se seznamem1,List Paragraph,Odstavec_muj1,Odstavec_muj2,Odstavec_muj3,Nad1,List Paragraph1,Odstavec_muj4,Nad2,List Paragraph2"/>
    <w:basedOn w:val="Normlny"/>
    <w:link w:val="OdsekzoznamuChar"/>
    <w:uiPriority w:val="99"/>
    <w:qFormat/>
    <w:rsid w:val="007F34F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OdsekzoznamuChar">
    <w:name w:val="Odsek zoznamu Char"/>
    <w:aliases w:val="Odstavec_muj Char,Conclusion de partie Char,References Char,Odstavec se seznamem2 Char,Nad Char,Odstavec cíl se seznamem Char,Odstavec se seznamem1 Char,List Paragraph Char,Odstavec_muj1 Char,Odstavec_muj2 Char,Odstavec_muj3 Char"/>
    <w:link w:val="Odsekzoznamu"/>
    <w:uiPriority w:val="99"/>
    <w:qFormat/>
    <w:locked/>
    <w:rsid w:val="007F34F4"/>
    <w:rPr>
      <w:rFonts w:eastAsiaTheme="minorHAnsi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7705B8"/>
    <w:rPr>
      <w:rFonts w:ascii="Arial Narrow" w:hAnsi="Arial Narrow"/>
      <w:szCs w:val="36"/>
      <w:lang w:eastAsia="en-US"/>
    </w:rPr>
  </w:style>
  <w:style w:type="paragraph" w:styleId="Bezriadkovania">
    <w:name w:val="No Spacing"/>
    <w:link w:val="BezriadkovaniaChar"/>
    <w:uiPriority w:val="1"/>
    <w:qFormat/>
    <w:rsid w:val="007705B8"/>
    <w:pPr>
      <w:spacing w:after="0" w:line="240" w:lineRule="auto"/>
    </w:pPr>
    <w:rPr>
      <w:rFonts w:ascii="Arial Narrow" w:hAnsi="Arial Narrow"/>
      <w:szCs w:val="36"/>
      <w:lang w:eastAsia="en-US"/>
    </w:rPr>
  </w:style>
  <w:style w:type="paragraph" w:customStyle="1" w:styleId="Default">
    <w:name w:val="Default"/>
    <w:rsid w:val="00776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j-doc-ti">
    <w:name w:val="oj-doc-ti"/>
    <w:basedOn w:val="Normlny"/>
    <w:rsid w:val="003018E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Jankovic Stefan /SEZA/MZV</dc:creator>
  <cp:keywords/>
  <cp:lastModifiedBy>Sprava_databaz@skdp.sk</cp:lastModifiedBy>
  <cp:revision>2</cp:revision>
  <cp:lastPrinted>2025-03-27T11:55:00Z</cp:lastPrinted>
  <dcterms:created xsi:type="dcterms:W3CDTF">2025-04-08T11:14:00Z</dcterms:created>
  <dcterms:modified xsi:type="dcterms:W3CDTF">2025-04-08T11:14:00Z</dcterms:modified>
</cp:coreProperties>
</file>